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915" w:rsidRPr="00046274" w:rsidRDefault="001E2915" w:rsidP="001E2915">
      <w:pPr>
        <w:widowControl w:val="0"/>
        <w:spacing w:line="360" w:lineRule="auto"/>
        <w:ind w:left="2124" w:firstLine="708"/>
        <w:rPr>
          <w:b/>
          <w:snapToGrid w:val="0"/>
          <w:sz w:val="24"/>
          <w:szCs w:val="24"/>
        </w:rPr>
      </w:pPr>
      <w:r w:rsidRPr="00046274">
        <w:rPr>
          <w:b/>
          <w:snapToGrid w:val="0"/>
          <w:sz w:val="24"/>
          <w:szCs w:val="24"/>
        </w:rPr>
        <w:t xml:space="preserve">Обязательная информация </w:t>
      </w:r>
    </w:p>
    <w:p w:rsidR="001E2915" w:rsidRPr="00046274" w:rsidRDefault="001E2915" w:rsidP="001E2915">
      <w:pPr>
        <w:widowControl w:val="0"/>
        <w:spacing w:line="360" w:lineRule="auto"/>
        <w:ind w:firstLine="708"/>
        <w:jc w:val="both"/>
        <w:rPr>
          <w:snapToGrid w:val="0"/>
          <w:sz w:val="24"/>
          <w:szCs w:val="24"/>
        </w:rPr>
      </w:pPr>
    </w:p>
    <w:p w:rsidR="001E2915" w:rsidRPr="00046274" w:rsidRDefault="001E2915" w:rsidP="001E2915">
      <w:pPr>
        <w:widowControl w:val="0"/>
        <w:spacing w:line="360" w:lineRule="auto"/>
        <w:ind w:firstLine="708"/>
        <w:jc w:val="both"/>
        <w:rPr>
          <w:snapToGrid w:val="0"/>
          <w:sz w:val="24"/>
          <w:szCs w:val="24"/>
        </w:rPr>
      </w:pPr>
      <w:r w:rsidRPr="00046274">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1E2915" w:rsidRPr="00046274" w:rsidRDefault="001E2915" w:rsidP="001E2915">
      <w:pPr>
        <w:widowControl w:val="0"/>
        <w:spacing w:line="360" w:lineRule="auto"/>
        <w:ind w:firstLine="708"/>
        <w:jc w:val="both"/>
        <w:rPr>
          <w:snapToGrid w:val="0"/>
          <w:sz w:val="24"/>
          <w:szCs w:val="24"/>
        </w:rPr>
      </w:pPr>
      <w:r w:rsidRPr="00046274">
        <w:rPr>
          <w:snapToGrid w:val="0"/>
          <w:sz w:val="24"/>
          <w:szCs w:val="24"/>
        </w:rPr>
        <w:t>ОПИФ рыночных финансовых инструментов «ТКБ Инвестмент Партнерс – Фонд акций глобальный» (Правила доверительного управления фондом зарегистрированы ФСФР России 21.03.2003 за № 0096-58227323).</w:t>
      </w:r>
    </w:p>
    <w:p w:rsidR="001E2915" w:rsidRPr="00046274" w:rsidRDefault="001E2915" w:rsidP="001E2915">
      <w:pPr>
        <w:widowControl w:val="0"/>
        <w:spacing w:line="360" w:lineRule="auto"/>
        <w:ind w:firstLine="708"/>
        <w:jc w:val="both"/>
        <w:rPr>
          <w:snapToGrid w:val="0"/>
          <w:sz w:val="24"/>
          <w:szCs w:val="24"/>
        </w:rPr>
      </w:pPr>
      <w:r w:rsidRPr="00046274">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1E2915" w:rsidRDefault="001E2915" w:rsidP="001E2915">
      <w:pPr>
        <w:suppressAutoHyphens w:val="0"/>
        <w:autoSpaceDE/>
        <w:spacing w:after="160" w:line="259" w:lineRule="auto"/>
        <w:ind w:firstLine="709"/>
        <w:jc w:val="both"/>
        <w:rPr>
          <w:snapToGrid w:val="0"/>
          <w:sz w:val="28"/>
          <w:szCs w:val="28"/>
        </w:rPr>
      </w:pPr>
      <w:r w:rsidRPr="00046274">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1E2915" w:rsidRDefault="001E2915" w:rsidP="001E2915">
      <w:pPr>
        <w:suppressAutoHyphens w:val="0"/>
        <w:autoSpaceDE/>
        <w:spacing w:after="160" w:line="259" w:lineRule="auto"/>
      </w:pPr>
      <w:r>
        <w:br w:type="page"/>
      </w:r>
    </w:p>
    <w:p w:rsidR="001E2915" w:rsidRDefault="001E2915">
      <w:bookmarkStart w:id="0" w:name="_GoBack"/>
      <w:bookmarkEnd w:id="0"/>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591BAB" w:rsidRPr="00591BAB" w:rsidTr="00B25149">
        <w:trPr>
          <w:trHeight w:val="1275"/>
        </w:trPr>
        <w:tc>
          <w:tcPr>
            <w:tcW w:w="4962" w:type="dxa"/>
          </w:tcPr>
          <w:p w:rsidR="00B25149" w:rsidRPr="00591BAB" w:rsidRDefault="00B25149" w:rsidP="00E845C5">
            <w:pPr>
              <w:pStyle w:val="a6"/>
              <w:spacing w:line="360" w:lineRule="auto"/>
              <w:rPr>
                <w:b/>
              </w:rPr>
            </w:pPr>
            <w:r w:rsidRPr="00591BAB">
              <w:rPr>
                <w:b/>
              </w:rPr>
              <w:t>«СОГЛАСОВАНО»</w:t>
            </w:r>
          </w:p>
          <w:p w:rsidR="00B25149" w:rsidRPr="00591BAB" w:rsidRDefault="00B25149" w:rsidP="00E845C5">
            <w:pPr>
              <w:pStyle w:val="a6"/>
              <w:spacing w:line="360" w:lineRule="auto"/>
            </w:pPr>
            <w:r w:rsidRPr="00591BAB" w:rsidDel="00C60710">
              <w:t xml:space="preserve"> </w:t>
            </w:r>
            <w:r w:rsidRPr="00591BAB">
              <w:t>«</w:t>
            </w:r>
            <w:r w:rsidR="009E578F" w:rsidRPr="00591BAB">
              <w:t xml:space="preserve"> </w:t>
            </w:r>
            <w:r w:rsidR="00B92721">
              <w:t>21</w:t>
            </w:r>
            <w:r w:rsidR="009E578F" w:rsidRPr="00591BAB">
              <w:t xml:space="preserve"> </w:t>
            </w:r>
            <w:r w:rsidRPr="00591BAB">
              <w:t xml:space="preserve">» </w:t>
            </w:r>
            <w:r w:rsidR="009E578F" w:rsidRPr="00591BAB">
              <w:t xml:space="preserve">       </w:t>
            </w:r>
            <w:r w:rsidR="00507FCE">
              <w:t>ию</w:t>
            </w:r>
            <w:r w:rsidR="00B92721">
              <w:t>л</w:t>
            </w:r>
            <w:r w:rsidR="00507FCE">
              <w:t>я</w:t>
            </w:r>
            <w:r w:rsidR="00434D07" w:rsidRPr="00591BAB">
              <w:t xml:space="preserve">          </w:t>
            </w:r>
            <w:r w:rsidRPr="00591BAB">
              <w:t>20</w:t>
            </w:r>
            <w:r w:rsidR="0098680B" w:rsidRPr="00591BAB">
              <w:t>2</w:t>
            </w:r>
            <w:r w:rsidR="008D727F">
              <w:t>2</w:t>
            </w:r>
            <w:r w:rsidRPr="00591BAB">
              <w:t xml:space="preserve"> г. </w:t>
            </w:r>
          </w:p>
          <w:p w:rsidR="00B25149" w:rsidRPr="00591BAB" w:rsidRDefault="00B25149" w:rsidP="00E845C5">
            <w:pPr>
              <w:pStyle w:val="a6"/>
              <w:spacing w:line="360" w:lineRule="auto"/>
            </w:pPr>
          </w:p>
          <w:p w:rsidR="00B25149" w:rsidRPr="00591BAB" w:rsidRDefault="00B25149" w:rsidP="00E845C5">
            <w:pPr>
              <w:pStyle w:val="a6"/>
              <w:spacing w:line="360" w:lineRule="auto"/>
            </w:pPr>
            <w:r w:rsidRPr="00591BAB">
              <w:t>Генеральный   директор</w:t>
            </w:r>
          </w:p>
          <w:p w:rsidR="00B25149" w:rsidRPr="00591BAB" w:rsidRDefault="00B25149" w:rsidP="00E845C5">
            <w:pPr>
              <w:pStyle w:val="a6"/>
              <w:spacing w:line="360" w:lineRule="auto"/>
            </w:pPr>
            <w:r w:rsidRPr="00591BAB">
              <w:t>ЗАО «Первый специализированный»</w:t>
            </w:r>
          </w:p>
          <w:p w:rsidR="00B25149" w:rsidRPr="00591BAB" w:rsidRDefault="00B25149" w:rsidP="00E845C5">
            <w:pPr>
              <w:pStyle w:val="a6"/>
              <w:spacing w:line="360" w:lineRule="auto"/>
            </w:pPr>
            <w:r w:rsidRPr="00591BAB">
              <w:t xml:space="preserve">Депозитарий» </w:t>
            </w:r>
          </w:p>
          <w:p w:rsidR="00B25149" w:rsidRPr="00591BAB" w:rsidRDefault="00B25149" w:rsidP="00E845C5">
            <w:pPr>
              <w:pStyle w:val="a6"/>
              <w:spacing w:line="360" w:lineRule="auto"/>
            </w:pPr>
            <w:r w:rsidRPr="00591BAB">
              <w:t xml:space="preserve">_________________ Панкратова Г.Н.      </w:t>
            </w:r>
          </w:p>
        </w:tc>
        <w:tc>
          <w:tcPr>
            <w:tcW w:w="4332" w:type="dxa"/>
          </w:tcPr>
          <w:p w:rsidR="00B25149" w:rsidRPr="00591BAB" w:rsidRDefault="00B25149" w:rsidP="00E845C5">
            <w:pPr>
              <w:pStyle w:val="a6"/>
              <w:spacing w:line="360" w:lineRule="auto"/>
              <w:rPr>
                <w:b/>
              </w:rPr>
            </w:pPr>
            <w:r w:rsidRPr="00591BAB" w:rsidDel="00C60710">
              <w:rPr>
                <w:b/>
              </w:rPr>
              <w:t xml:space="preserve"> </w:t>
            </w:r>
            <w:r w:rsidRPr="00591BAB">
              <w:rPr>
                <w:b/>
              </w:rPr>
              <w:t xml:space="preserve"> «УТВЕРЖДЕНО»</w:t>
            </w:r>
          </w:p>
          <w:p w:rsidR="00B25149" w:rsidRPr="00591BAB" w:rsidRDefault="00B25149" w:rsidP="00E845C5">
            <w:pPr>
              <w:pStyle w:val="a6"/>
              <w:spacing w:line="360" w:lineRule="auto"/>
            </w:pPr>
            <w:r w:rsidRPr="00591BAB">
              <w:t xml:space="preserve"> «</w:t>
            </w:r>
            <w:r w:rsidR="008218D7">
              <w:t xml:space="preserve"> </w:t>
            </w:r>
            <w:r w:rsidR="00B92721">
              <w:t>21</w:t>
            </w:r>
            <w:r w:rsidR="009E578F" w:rsidRPr="00591BAB">
              <w:t xml:space="preserve"> »     </w:t>
            </w:r>
            <w:r w:rsidR="00507FCE">
              <w:t>ию</w:t>
            </w:r>
            <w:r w:rsidR="00B92721">
              <w:t>л</w:t>
            </w:r>
            <w:r w:rsidR="00507FCE">
              <w:t>я</w:t>
            </w:r>
            <w:r w:rsidR="00507FCE" w:rsidRPr="00591BAB">
              <w:t xml:space="preserve">       </w:t>
            </w:r>
            <w:r w:rsidRPr="00591BAB">
              <w:t>20</w:t>
            </w:r>
            <w:r w:rsidR="0098680B" w:rsidRPr="00591BAB">
              <w:t>2</w:t>
            </w:r>
            <w:r w:rsidR="008D727F">
              <w:t>2</w:t>
            </w:r>
            <w:r w:rsidRPr="00591BAB">
              <w:t xml:space="preserve"> г.       </w:t>
            </w:r>
          </w:p>
          <w:p w:rsidR="00B25149" w:rsidRPr="00591BAB" w:rsidRDefault="00B25149" w:rsidP="00E845C5">
            <w:pPr>
              <w:pStyle w:val="a6"/>
              <w:spacing w:line="360" w:lineRule="auto"/>
            </w:pPr>
          </w:p>
          <w:p w:rsidR="00B25149" w:rsidRPr="00591BAB" w:rsidRDefault="00B92721" w:rsidP="00E845C5">
            <w:pPr>
              <w:pStyle w:val="a6"/>
              <w:spacing w:line="360" w:lineRule="auto"/>
            </w:pPr>
            <w:r>
              <w:t>И.о.г</w:t>
            </w:r>
            <w:r w:rsidR="00B25149" w:rsidRPr="00591BAB">
              <w:t>енеральн</w:t>
            </w:r>
            <w:r>
              <w:t>ого</w:t>
            </w:r>
            <w:r w:rsidR="00B25149" w:rsidRPr="00591BAB">
              <w:t xml:space="preserve">   директор</w:t>
            </w:r>
            <w:r>
              <w:t>а</w:t>
            </w:r>
          </w:p>
          <w:p w:rsidR="00B25149" w:rsidRPr="00591BAB" w:rsidRDefault="00B25149" w:rsidP="00E845C5">
            <w:pPr>
              <w:pStyle w:val="a6"/>
              <w:spacing w:line="360" w:lineRule="auto"/>
            </w:pPr>
            <w:r w:rsidRPr="00591BAB">
              <w:t>ТКБ Инвестмент Партнерс</w:t>
            </w:r>
          </w:p>
          <w:p w:rsidR="00B25149" w:rsidRPr="00591BAB" w:rsidRDefault="00B25149" w:rsidP="00E845C5">
            <w:pPr>
              <w:pStyle w:val="a6"/>
              <w:spacing w:line="360" w:lineRule="auto"/>
            </w:pPr>
            <w:r w:rsidRPr="00591BAB">
              <w:t>(Акционерное общество)</w:t>
            </w:r>
          </w:p>
          <w:p w:rsidR="00B25149" w:rsidRPr="00591BAB" w:rsidRDefault="00B25149" w:rsidP="000B09F4">
            <w:pPr>
              <w:pStyle w:val="a6"/>
              <w:spacing w:line="360" w:lineRule="auto"/>
            </w:pPr>
            <w:r w:rsidRPr="00591BAB">
              <w:t>_________________</w:t>
            </w:r>
            <w:r w:rsidR="00B92721">
              <w:t>Коровкин А.А</w:t>
            </w:r>
            <w:r w:rsidRPr="00591BAB">
              <w:t>.</w:t>
            </w:r>
          </w:p>
        </w:tc>
      </w:tr>
    </w:tbl>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B25149" w:rsidRPr="00591BAB" w:rsidRDefault="00B25149" w:rsidP="00E845C5">
      <w:pPr>
        <w:widowControl w:val="0"/>
        <w:spacing w:line="360" w:lineRule="auto"/>
        <w:ind w:firstLine="708"/>
        <w:jc w:val="center"/>
        <w:rPr>
          <w:b/>
          <w:snapToGrid w:val="0"/>
          <w:sz w:val="24"/>
          <w:szCs w:val="24"/>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2511B9" w:rsidRDefault="002511B9" w:rsidP="00E845C5">
      <w:pPr>
        <w:tabs>
          <w:tab w:val="left" w:pos="8364"/>
        </w:tabs>
        <w:spacing w:line="360" w:lineRule="auto"/>
        <w:jc w:val="center"/>
        <w:outlineLvl w:val="0"/>
        <w:rPr>
          <w:b/>
          <w:snapToGrid w:val="0"/>
          <w:sz w:val="28"/>
          <w:szCs w:val="28"/>
        </w:rPr>
      </w:pPr>
    </w:p>
    <w:p w:rsidR="008D727F" w:rsidRDefault="008D727F" w:rsidP="00E845C5">
      <w:pPr>
        <w:tabs>
          <w:tab w:val="left" w:pos="8364"/>
        </w:tabs>
        <w:spacing w:line="360" w:lineRule="auto"/>
        <w:jc w:val="center"/>
        <w:outlineLvl w:val="0"/>
        <w:rPr>
          <w:b/>
          <w:snapToGrid w:val="0"/>
          <w:sz w:val="28"/>
          <w:szCs w:val="28"/>
        </w:rPr>
      </w:pPr>
      <w:r>
        <w:rPr>
          <w:b/>
          <w:snapToGrid w:val="0"/>
          <w:sz w:val="28"/>
          <w:szCs w:val="28"/>
        </w:rPr>
        <w:t xml:space="preserve">Изменения и дополнения в </w:t>
      </w:r>
    </w:p>
    <w:p w:rsidR="009E578F" w:rsidRPr="00591BAB" w:rsidRDefault="009E578F" w:rsidP="00E845C5">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9E578F" w:rsidRPr="00591BAB" w:rsidRDefault="009E578F" w:rsidP="00E845C5">
      <w:pPr>
        <w:tabs>
          <w:tab w:val="left" w:pos="8364"/>
        </w:tabs>
        <w:spacing w:line="360" w:lineRule="auto"/>
        <w:jc w:val="both"/>
        <w:outlineLvl w:val="0"/>
        <w:rPr>
          <w:b/>
          <w:snapToGrid w:val="0"/>
          <w:sz w:val="28"/>
          <w:szCs w:val="28"/>
        </w:rPr>
      </w:pPr>
    </w:p>
    <w:p w:rsidR="009E578F" w:rsidRPr="00591BAB" w:rsidRDefault="009E578F" w:rsidP="00E845C5">
      <w:pPr>
        <w:tabs>
          <w:tab w:val="left" w:pos="8364"/>
        </w:tabs>
        <w:spacing w:line="360" w:lineRule="auto"/>
        <w:jc w:val="center"/>
        <w:outlineLvl w:val="0"/>
        <w:rPr>
          <w:snapToGrid w:val="0"/>
          <w:vertAlign w:val="superscript"/>
        </w:rPr>
      </w:pPr>
      <w:r w:rsidRPr="00591BAB">
        <w:rPr>
          <w:snapToGrid w:val="0"/>
          <w:sz w:val="26"/>
          <w:szCs w:val="26"/>
          <w:u w:val="single"/>
        </w:rPr>
        <w:t>ОТКРЫТЫЙ ПАЕВОЙ ИНВЕСТИЦИОННЫЙ ФОНД РЫНОЧНЫХ ФИНАНСОВЫХ ИНСТРУМЕНТОВ «</w:t>
      </w:r>
      <w:r w:rsidR="00E32B66" w:rsidRPr="00591BAB">
        <w:rPr>
          <w:snapToGrid w:val="0"/>
          <w:sz w:val="26"/>
          <w:szCs w:val="26"/>
          <w:u w:val="single"/>
        </w:rPr>
        <w:t xml:space="preserve">ТКБ ИНВЕСТМЕНТ ПАРТНЕРС – ФОНД </w:t>
      </w:r>
      <w:r w:rsidR="00F262B8" w:rsidRPr="00591BAB">
        <w:rPr>
          <w:snapToGrid w:val="0"/>
          <w:sz w:val="26"/>
          <w:szCs w:val="26"/>
          <w:u w:val="single"/>
        </w:rPr>
        <w:t>АКЦИЙ ГЛОБАЛЬНЫЙ</w:t>
      </w:r>
      <w:r w:rsidRPr="00591BAB">
        <w:rPr>
          <w:snapToGrid w:val="0"/>
          <w:sz w:val="26"/>
          <w:szCs w:val="26"/>
          <w:u w:val="single"/>
        </w:rPr>
        <w:t>»</w:t>
      </w:r>
    </w:p>
    <w:p w:rsidR="00D736A0" w:rsidRDefault="00D736A0" w:rsidP="00D736A0">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F6584F" w:rsidP="00E845C5">
      <w:pPr>
        <w:widowControl w:val="0"/>
        <w:spacing w:line="360" w:lineRule="auto"/>
        <w:jc w:val="center"/>
        <w:rPr>
          <w:b/>
          <w:snapToGrid w:val="0"/>
          <w:sz w:val="24"/>
          <w:szCs w:val="24"/>
        </w:rPr>
      </w:pPr>
    </w:p>
    <w:p w:rsidR="00F6584F" w:rsidRPr="00591BAB" w:rsidRDefault="00421397" w:rsidP="00E845C5">
      <w:pPr>
        <w:suppressAutoHyphens w:val="0"/>
        <w:autoSpaceDE/>
        <w:spacing w:line="360" w:lineRule="auto"/>
        <w:rPr>
          <w:sz w:val="24"/>
          <w:szCs w:val="24"/>
        </w:rPr>
      </w:pPr>
      <w:r w:rsidRPr="00591BAB">
        <w:rPr>
          <w:sz w:val="24"/>
          <w:szCs w:val="24"/>
        </w:rPr>
        <w:br w:type="page"/>
      </w: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lastRenderedPageBreak/>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591BAB" w:rsidRDefault="009D77B3" w:rsidP="00E845C5">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B21FBF" w:rsidRPr="00591BAB" w:rsidRDefault="00B21FBF" w:rsidP="00E845C5">
      <w:pPr>
        <w:autoSpaceDN w:val="0"/>
        <w:spacing w:line="360" w:lineRule="auto"/>
        <w:ind w:firstLine="709"/>
        <w:jc w:val="both"/>
        <w:rPr>
          <w:sz w:val="24"/>
          <w:szCs w:val="24"/>
        </w:rPr>
      </w:pP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D727F">
        <w:rPr>
          <w:sz w:val="24"/>
          <w:szCs w:val="24"/>
          <w:lang w:eastAsia="ru-RU"/>
        </w:rPr>
        <w:t xml:space="preserve"> изменения и дополнения в</w:t>
      </w:r>
      <w:r w:rsidRPr="00591BA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F262B8" w:rsidRPr="00591BAB">
        <w:rPr>
          <w:sz w:val="24"/>
          <w:szCs w:val="24"/>
          <w:lang w:eastAsia="ru-RU"/>
        </w:rPr>
        <w:t>Фонд акций глобальный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Настоящие</w:t>
      </w:r>
      <w:r w:rsidR="008D727F">
        <w:rPr>
          <w:sz w:val="24"/>
          <w:szCs w:val="24"/>
          <w:lang w:eastAsia="ru-RU"/>
        </w:rPr>
        <w:t xml:space="preserve"> изменения и дополнения в</w:t>
      </w:r>
      <w:r w:rsidRPr="00591BAB">
        <w:rPr>
          <w:sz w:val="24"/>
          <w:szCs w:val="24"/>
          <w:lang w:eastAsia="ru-RU"/>
        </w:rPr>
        <w:t xml:space="preserve"> Правила </w:t>
      </w:r>
      <w:r w:rsidR="00C9798E" w:rsidRPr="00591BAB">
        <w:rPr>
          <w:sz w:val="24"/>
          <w:szCs w:val="24"/>
          <w:lang w:eastAsia="ru-RU"/>
        </w:rPr>
        <w:t xml:space="preserve">определения СЧА применяются с </w:t>
      </w:r>
      <w:r w:rsidR="00B92721">
        <w:rPr>
          <w:sz w:val="24"/>
          <w:szCs w:val="24"/>
          <w:lang w:eastAsia="ru-RU"/>
        </w:rPr>
        <w:t>31</w:t>
      </w:r>
      <w:r w:rsidR="00507FCE" w:rsidRPr="00591BAB">
        <w:rPr>
          <w:sz w:val="24"/>
          <w:szCs w:val="24"/>
          <w:lang w:eastAsia="ru-RU"/>
        </w:rPr>
        <w:t xml:space="preserve"> </w:t>
      </w:r>
      <w:r w:rsidR="00507FCE">
        <w:rPr>
          <w:sz w:val="24"/>
          <w:szCs w:val="24"/>
          <w:lang w:eastAsia="ru-RU"/>
        </w:rPr>
        <w:t>июля</w:t>
      </w:r>
      <w:r w:rsidR="00434D07" w:rsidRPr="00591BAB">
        <w:rPr>
          <w:sz w:val="24"/>
          <w:szCs w:val="24"/>
          <w:lang w:eastAsia="ru-RU"/>
        </w:rPr>
        <w:t xml:space="preserve"> </w:t>
      </w:r>
      <w:r w:rsidR="005C7817" w:rsidRPr="00591BAB">
        <w:rPr>
          <w:sz w:val="24"/>
          <w:szCs w:val="24"/>
          <w:lang w:eastAsia="ru-RU"/>
        </w:rPr>
        <w:t>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w:t>
      </w:r>
      <w:r w:rsidR="002511B9">
        <w:rPr>
          <w:rFonts w:eastAsia="Batang"/>
          <w:szCs w:val="24"/>
        </w:rPr>
        <w:t>пециализированному депозитарию,</w:t>
      </w:r>
      <w:r w:rsidR="00ED498D" w:rsidRPr="00591BAB">
        <w:rPr>
          <w:rFonts w:eastAsia="Batang"/>
          <w:szCs w:val="24"/>
        </w:rPr>
        <w:t xml:space="preserve"> </w:t>
      </w:r>
      <w:r w:rsidRPr="00591BAB">
        <w:rPr>
          <w:rFonts w:eastAsia="Batang"/>
          <w:szCs w:val="24"/>
        </w:rPr>
        <w:t>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20013896"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20013897"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20013898"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20013899"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20013900"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20013901"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20013902"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20013903"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20013904"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20013905"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20013906"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20013907"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20013908"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20013909"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20013910"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20013911"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20013912"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20013913"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20013914"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20013915"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20013916"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20013917"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20013918"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20013919"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20013920"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20013921"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20013922"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20013923"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20013924"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20013925"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20013926"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20013927"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20013928"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20013929"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20013930"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20013931"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20013932"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20013933"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20013934"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20013935"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20013936"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20013937"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20013938"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Вознаграждения управляющей компании, с</w:t>
      </w:r>
      <w:r w:rsidR="002511B9">
        <w:rPr>
          <w:sz w:val="24"/>
          <w:szCs w:val="24"/>
          <w:lang w:eastAsia="ru-RU"/>
        </w:rPr>
        <w:t>пециализированному депозитарию,</w:t>
      </w:r>
      <w:r w:rsidRPr="00591BAB">
        <w:rPr>
          <w:sz w:val="24"/>
          <w:szCs w:val="24"/>
          <w:lang w:eastAsia="ru-RU"/>
        </w:rPr>
        <w:t xml:space="preserve">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374"/>
        <w:gridCol w:w="6446"/>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465"/>
        <w:gridCol w:w="7355"/>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1"/>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476"/>
        <w:gridCol w:w="7344"/>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1E2915"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1E2915"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1E2915"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1E2915"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1E2915"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1E2915"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A36DD9"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p w:rsidR="00B92721" w:rsidRPr="00591BAB" w:rsidRDefault="00B92721" w:rsidP="00E845C5">
            <w:pPr>
              <w:pStyle w:val="a8"/>
              <w:suppressAutoHyphens w:val="0"/>
              <w:autoSpaceDE/>
              <w:spacing w:line="360" w:lineRule="auto"/>
              <w:ind w:left="0" w:firstLine="680"/>
              <w:contextualSpacing w:val="0"/>
              <w:jc w:val="both"/>
              <w:rPr>
                <w:sz w:val="24"/>
                <w:szCs w:val="24"/>
              </w:rPr>
            </w:pPr>
            <w:r w:rsidRPr="0051730E">
              <w:rPr>
                <w:sz w:val="24"/>
                <w:szCs w:val="24"/>
              </w:rPr>
              <w:t>В случае отсутствия указанных цен в соответствующих информационных системах в связи с неторговым днем бирж, по итогам торгов на которых определяются расчетные цены, для целей определения справедливой стоимости активов используется цена, рассчитанная по итогам последнего торгового дня. Такой подход используется в отсутствие событий, которые могли существенно повлиять на значение расчетной цены в неторговый день.</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47"/>
        <w:gridCol w:w="7273"/>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5910F6"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002511B9">
              <w:rPr>
                <w:sz w:val="24"/>
                <w:szCs w:val="24"/>
              </w:rPr>
              <w:t xml:space="preserve"> используются следующие цены</w:t>
            </w:r>
            <w:r w:rsidRPr="00591BAB">
              <w:rPr>
                <w:sz w:val="24"/>
                <w:szCs w:val="24"/>
              </w:rPr>
              <w:t xml:space="preserve">: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используются следующие цены в следующем порядке (убывания приоритета)</w:t>
            </w:r>
            <w:r w:rsidR="00524BBD">
              <w:rPr>
                <w:sz w:val="24"/>
                <w:szCs w:val="24"/>
              </w:rPr>
              <w:t>:</w:t>
            </w:r>
            <w:r w:rsidRPr="00591BAB">
              <w:rPr>
                <w:sz w:val="24"/>
                <w:szCs w:val="24"/>
              </w:rPr>
              <w:t xml:space="preserve"> </w:t>
            </w:r>
          </w:p>
          <w:p w:rsidR="00524BBD" w:rsidRDefault="00524BBD" w:rsidP="00E845C5">
            <w:pPr>
              <w:pStyle w:val="a8"/>
              <w:spacing w:line="360" w:lineRule="auto"/>
              <w:ind w:left="0" w:firstLine="601"/>
              <w:jc w:val="both"/>
              <w:rPr>
                <w:sz w:val="24"/>
                <w:szCs w:val="24"/>
              </w:rPr>
            </w:pPr>
            <w:r>
              <w:rPr>
                <w:sz w:val="24"/>
                <w:szCs w:val="24"/>
              </w:rPr>
              <w:t xml:space="preserve">1. </w:t>
            </w:r>
            <w:r w:rsidRPr="0051730E">
              <w:rPr>
                <w:sz w:val="24"/>
                <w:szCs w:val="24"/>
              </w:rPr>
              <w:t>индексная цена, определенная по методике «RU Data Index Price (RUDIP)», раскрываемая информационно-аналитическим продуктом RuData Price Международной информационной группы «Интерфакс»</w:t>
            </w:r>
            <w:r>
              <w:rPr>
                <w:sz w:val="24"/>
                <w:szCs w:val="24"/>
              </w:rPr>
              <w:t>;</w:t>
            </w:r>
          </w:p>
          <w:p w:rsidR="00DF3D5F" w:rsidRPr="00591BAB" w:rsidRDefault="00524BBD" w:rsidP="00E845C5">
            <w:pPr>
              <w:pStyle w:val="a8"/>
              <w:spacing w:line="360" w:lineRule="auto"/>
              <w:ind w:left="0" w:firstLine="601"/>
              <w:jc w:val="both"/>
              <w:rPr>
                <w:sz w:val="24"/>
                <w:szCs w:val="24"/>
              </w:rPr>
            </w:pPr>
            <w:r>
              <w:rPr>
                <w:sz w:val="24"/>
                <w:szCs w:val="24"/>
              </w:rPr>
              <w:t xml:space="preserve">2. </w:t>
            </w:r>
            <w:r w:rsidR="00DF3D5F" w:rsidRPr="00591BAB">
              <w:rPr>
                <w:sz w:val="24"/>
                <w:szCs w:val="24"/>
              </w:rPr>
              <w:t>Модель оценки в соответствии с Приложением 17</w:t>
            </w:r>
            <w:r>
              <w:rPr>
                <w:sz w:val="24"/>
                <w:szCs w:val="24"/>
              </w:rPr>
              <w:t>;</w:t>
            </w:r>
          </w:p>
          <w:p w:rsidR="007432BC" w:rsidRPr="00591BAB" w:rsidRDefault="00524BBD" w:rsidP="00E845C5">
            <w:pPr>
              <w:spacing w:line="360" w:lineRule="auto"/>
              <w:ind w:firstLine="601"/>
              <w:jc w:val="both"/>
              <w:rPr>
                <w:sz w:val="24"/>
                <w:szCs w:val="24"/>
              </w:rPr>
            </w:pPr>
            <w:r>
              <w:rPr>
                <w:sz w:val="24"/>
                <w:szCs w:val="24"/>
              </w:rPr>
              <w:t xml:space="preserve">3. </w:t>
            </w:r>
            <w:r w:rsidR="007432BC"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8A7370" w:rsidP="00E845C5">
            <w:pPr>
              <w:pStyle w:val="a8"/>
              <w:spacing w:line="360" w:lineRule="auto"/>
              <w:ind w:left="0" w:firstLine="601"/>
              <w:jc w:val="both"/>
              <w:rPr>
                <w:sz w:val="24"/>
                <w:szCs w:val="24"/>
              </w:rPr>
            </w:pP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507FCE" w:rsidRDefault="00507FCE" w:rsidP="00E845C5">
            <w:pPr>
              <w:pStyle w:val="a8"/>
              <w:spacing w:line="360" w:lineRule="auto"/>
              <w:ind w:left="0" w:firstLine="601"/>
              <w:jc w:val="both"/>
              <w:rPr>
                <w:sz w:val="24"/>
                <w:szCs w:val="24"/>
              </w:rPr>
            </w:pPr>
            <w:r w:rsidRPr="00B045A8">
              <w:rPr>
                <w:color w:val="000000" w:themeColor="text1"/>
                <w:sz w:val="24"/>
                <w:szCs w:val="24"/>
              </w:rPr>
              <w:t>По ценным бумагам иностранных эмитентов, возможность реализации которых ограничена или недоступна, Управляющая компания вправе принять решение о применении мотивированного суждения для целей определения справедливой стоимости. При этом, мотивированное суждение должно руководствоваться принципами должной разумности, добросовестности, осмотрительности и заботливости в отношении интересов пайщиков фонда и содержать описание порядка расчета справедливой стоимости с учетом существенных факторов, как количественного, так и качественного характера, влияющих на оценку, и иных допущений, которые учитывали бы другие участники рынка, включая возможность реализации данного актива.</w:t>
            </w:r>
          </w:p>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591BAB" w:rsidRDefault="00326338" w:rsidP="00E845C5">
            <w:pPr>
              <w:pStyle w:val="a8"/>
              <w:spacing w:line="360" w:lineRule="auto"/>
              <w:ind w:left="0"/>
              <w:jc w:val="both"/>
              <w:rPr>
                <w:lang w:eastAsia="ru-RU"/>
              </w:rPr>
            </w:pPr>
            <w:r w:rsidRPr="00591BA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591BAB" w:rsidRDefault="00326338" w:rsidP="00E845C5">
            <w:pPr>
              <w:pStyle w:val="a8"/>
              <w:spacing w:line="360" w:lineRule="auto"/>
              <w:ind w:left="0"/>
              <w:jc w:val="both"/>
            </w:pPr>
            <w:r w:rsidRPr="00591BAB">
              <w:t>В качестве безрисковой ставки доходности страны риска используются:</w:t>
            </w:r>
          </w:p>
          <w:p w:rsidR="00326338" w:rsidRPr="00591BAB" w:rsidRDefault="00326338" w:rsidP="00E845C5">
            <w:pPr>
              <w:pStyle w:val="a8"/>
              <w:autoSpaceDE/>
              <w:autoSpaceDN w:val="0"/>
              <w:spacing w:line="360" w:lineRule="auto"/>
              <w:ind w:left="0" w:firstLine="709"/>
              <w:jc w:val="both"/>
            </w:pPr>
            <w:r w:rsidRPr="00591BAB">
              <w:t>1)</w:t>
            </w:r>
            <w:r w:rsidRPr="00591BAB">
              <w:rPr>
                <w:sz w:val="14"/>
                <w:szCs w:val="14"/>
              </w:rPr>
              <w:t xml:space="preserve">          </w:t>
            </w:r>
            <w:r w:rsidRPr="00591BAB">
              <w:t> Для ценных бумаг, номинированных в российских рублях – ставка кривой бескупонной доходности Московской биржи</w:t>
            </w:r>
            <w:r w:rsidRPr="00591BAB">
              <w:rPr>
                <w:rStyle w:val="afa"/>
              </w:rPr>
              <w:footnoteReference w:id="3"/>
            </w:r>
          </w:p>
          <w:p w:rsidR="00326338" w:rsidRPr="00591BAB" w:rsidRDefault="00326338" w:rsidP="00E845C5">
            <w:pPr>
              <w:pStyle w:val="a8"/>
              <w:autoSpaceDE/>
              <w:autoSpaceDN w:val="0"/>
              <w:spacing w:line="360" w:lineRule="auto"/>
              <w:ind w:left="0" w:firstLine="709"/>
              <w:jc w:val="both"/>
            </w:pPr>
            <w:r w:rsidRPr="00591BAB">
              <w:t>2)</w:t>
            </w:r>
            <w:r w:rsidRPr="00591BAB">
              <w:rPr>
                <w:sz w:val="14"/>
                <w:szCs w:val="14"/>
              </w:rPr>
              <w:t xml:space="preserve">          </w:t>
            </w:r>
            <w:r w:rsidRPr="00591BAB">
              <w:t> Для ценных бумаг, номинированных в американских долларах - ставка, по американским государственным облигациям</w:t>
            </w:r>
            <w:r w:rsidRPr="00591BAB">
              <w:rPr>
                <w:rStyle w:val="afa"/>
              </w:rPr>
              <w:footnoteReference w:id="4"/>
            </w:r>
          </w:p>
          <w:p w:rsidR="00326338" w:rsidRPr="00591BAB" w:rsidRDefault="00326338" w:rsidP="00E845C5">
            <w:pPr>
              <w:pStyle w:val="a8"/>
              <w:autoSpaceDE/>
              <w:autoSpaceDN w:val="0"/>
              <w:spacing w:line="360" w:lineRule="auto"/>
              <w:ind w:left="0" w:firstLine="709"/>
            </w:pPr>
            <w:r w:rsidRPr="00591BAB">
              <w:t>3)</w:t>
            </w:r>
            <w:r w:rsidRPr="00591BAB">
              <w:rPr>
                <w:sz w:val="14"/>
                <w:szCs w:val="14"/>
              </w:rPr>
              <w:t xml:space="preserve">          </w:t>
            </w:r>
            <w:r w:rsidRPr="00591BAB">
              <w:t> Для ценных бумаг, номинированных в евро - ставка, облигациям с рейтингом ААА Еврозоны</w:t>
            </w:r>
            <w:r w:rsidRPr="00591BAB">
              <w:rPr>
                <w:rStyle w:val="afa"/>
              </w:rPr>
              <w:footnoteReference w:id="5"/>
            </w:r>
          </w:p>
          <w:p w:rsidR="00326338" w:rsidRPr="00591BAB" w:rsidRDefault="00326338" w:rsidP="00E845C5">
            <w:pPr>
              <w:pStyle w:val="a8"/>
              <w:spacing w:line="360" w:lineRule="auto"/>
              <w:ind w:left="0"/>
              <w:jc w:val="both"/>
            </w:pPr>
            <w:r w:rsidRPr="00591BA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591BAB" w:rsidRDefault="00326338" w:rsidP="00E845C5">
            <w:pPr>
              <w:pStyle w:val="a8"/>
              <w:spacing w:line="360" w:lineRule="auto"/>
              <w:ind w:left="0"/>
              <w:jc w:val="both"/>
              <w:rPr>
                <w:sz w:val="24"/>
                <w:szCs w:val="24"/>
              </w:rPr>
            </w:pPr>
            <w:r w:rsidRPr="00591BA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591BAB" w:rsidRDefault="00326338" w:rsidP="00E845C5">
            <w:pPr>
              <w:pStyle w:val="a8"/>
              <w:spacing w:line="360" w:lineRule="auto"/>
              <w:ind w:left="0"/>
              <w:jc w:val="both"/>
              <w:rPr>
                <w:sz w:val="24"/>
                <w:szCs w:val="24"/>
              </w:rPr>
            </w:pPr>
          </w:p>
          <w:p w:rsidR="00326338" w:rsidRPr="00591BAB" w:rsidRDefault="001E2915"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591BAB" w:rsidRDefault="00326338" w:rsidP="00E845C5">
            <w:pPr>
              <w:pStyle w:val="a8"/>
              <w:spacing w:line="360" w:lineRule="auto"/>
              <w:ind w:left="0"/>
              <w:jc w:val="both"/>
              <w:rPr>
                <w:sz w:val="24"/>
                <w:szCs w:val="24"/>
              </w:rPr>
            </w:pPr>
            <w:r w:rsidRPr="00591BAB">
              <w:rPr>
                <w:sz w:val="24"/>
                <w:szCs w:val="24"/>
              </w:rPr>
              <w:t>Где</w:t>
            </w:r>
          </w:p>
          <w:p w:rsidR="00326338" w:rsidRPr="00591BAB" w:rsidRDefault="001E2915"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591BAB">
              <w:rPr>
                <w:sz w:val="24"/>
                <w:szCs w:val="24"/>
              </w:rPr>
              <w:t xml:space="preserve"> – справедливая стоимость ценной бумаги на дату оценки</w:t>
            </w:r>
          </w:p>
          <w:p w:rsidR="00326338" w:rsidRPr="00591BA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591BAB">
              <w:rPr>
                <w:sz w:val="24"/>
                <w:szCs w:val="24"/>
              </w:rPr>
              <w:t xml:space="preserve"> – цена размещения</w:t>
            </w:r>
          </w:p>
          <w:p w:rsidR="00326338" w:rsidRPr="00591BAB" w:rsidRDefault="001E2915"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591BAB">
              <w:rPr>
                <w:sz w:val="24"/>
                <w:szCs w:val="24"/>
              </w:rPr>
              <w:t xml:space="preserve"> – безрисковая ставка на дату размещения на срок до погашения (оферты)</w:t>
            </w:r>
          </w:p>
          <w:p w:rsidR="00326338" w:rsidRPr="00591BAB" w:rsidRDefault="001E2915"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434D07" w:rsidRPr="00591BAB" w:rsidTr="009D6B08">
        <w:tc>
          <w:tcPr>
            <w:tcW w:w="5891" w:type="dxa"/>
          </w:tcPr>
          <w:p w:rsidR="00434D07" w:rsidRPr="00591BAB" w:rsidRDefault="00434D07" w:rsidP="00434D07">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434D07" w:rsidRPr="00591BAB" w:rsidRDefault="00434D07" w:rsidP="00434D07">
            <w:pPr>
              <w:pStyle w:val="a8"/>
              <w:autoSpaceDN w:val="0"/>
              <w:adjustRightInd w:val="0"/>
              <w:spacing w:line="360" w:lineRule="auto"/>
              <w:ind w:left="0"/>
              <w:jc w:val="both"/>
              <w:rPr>
                <w:sz w:val="24"/>
                <w:szCs w:val="24"/>
              </w:rPr>
            </w:pPr>
          </w:p>
        </w:tc>
      </w:tr>
      <w:tr w:rsidR="00434D07" w:rsidRPr="00591BAB" w:rsidTr="009D6B08">
        <w:tc>
          <w:tcPr>
            <w:tcW w:w="5891" w:type="dxa"/>
          </w:tcPr>
          <w:p w:rsidR="00434D07" w:rsidRPr="00591BAB" w:rsidRDefault="00434D07" w:rsidP="00434D07">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434D07" w:rsidRPr="00591BAB" w:rsidRDefault="00434D07" w:rsidP="00434D07">
            <w:pPr>
              <w:pStyle w:val="a8"/>
              <w:autoSpaceDN w:val="0"/>
              <w:adjustRightInd w:val="0"/>
              <w:spacing w:line="360" w:lineRule="auto"/>
              <w:ind w:left="0"/>
              <w:jc w:val="both"/>
              <w:rPr>
                <w:sz w:val="24"/>
                <w:szCs w:val="24"/>
              </w:rPr>
            </w:pP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Vienna Stock Exchange</w:t>
            </w:r>
          </w:p>
        </w:tc>
      </w:tr>
      <w:tr w:rsidR="00434D07" w:rsidRPr="001E2915" w:rsidTr="009D6B08">
        <w:tc>
          <w:tcPr>
            <w:tcW w:w="5891" w:type="dxa"/>
          </w:tcPr>
          <w:p w:rsidR="00434D07" w:rsidRPr="00591BAB" w:rsidRDefault="00434D07" w:rsidP="00434D07">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434D07" w:rsidRPr="00591BAB" w:rsidRDefault="00434D07" w:rsidP="00434D07">
            <w:pPr>
              <w:pStyle w:val="a8"/>
              <w:autoSpaceDN w:val="0"/>
              <w:adjustRightInd w:val="0"/>
              <w:ind w:left="0"/>
              <w:jc w:val="both"/>
              <w:rPr>
                <w:sz w:val="24"/>
                <w:szCs w:val="24"/>
                <w:lang w:val="en-US"/>
              </w:rPr>
            </w:pPr>
            <w:r w:rsidRPr="00591BAB">
              <w:rPr>
                <w:sz w:val="24"/>
                <w:szCs w:val="24"/>
                <w:lang w:val="en-US"/>
              </w:rPr>
              <w:t>The Stock Exchange of Hong Kong</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BSE Берлин</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Berlin SE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SSE Штутгарт</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Stuttgart SE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MSE Мюнхен</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Munich SE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DSE Дюссельдорф</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DB Dusseldorf SE</w:t>
            </w:r>
          </w:p>
        </w:tc>
      </w:tr>
      <w:tr w:rsidR="00434D07" w:rsidRPr="00434D07" w:rsidTr="001B6A5B">
        <w:tc>
          <w:tcPr>
            <w:tcW w:w="5891" w:type="dxa"/>
            <w:vAlign w:val="bottom"/>
          </w:tcPr>
          <w:p w:rsidR="00434D07" w:rsidRPr="00591BAB" w:rsidRDefault="00434D07" w:rsidP="00434D07">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434D07" w:rsidRPr="00591BAB" w:rsidRDefault="00434D07" w:rsidP="00434D07">
            <w:pPr>
              <w:pStyle w:val="a8"/>
              <w:autoSpaceDN w:val="0"/>
              <w:adjustRightInd w:val="0"/>
              <w:ind w:left="0"/>
              <w:jc w:val="both"/>
              <w:rPr>
                <w:sz w:val="24"/>
                <w:szCs w:val="24"/>
                <w:lang w:val="en-US"/>
              </w:rPr>
            </w:pPr>
            <w:r w:rsidRPr="00294665">
              <w:rPr>
                <w:sz w:val="24"/>
                <w:szCs w:val="24"/>
              </w:rPr>
              <w:t>DB Hamburg SE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London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Шэньчжэньская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Shenzhen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New York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NYSE Arсa</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Singapore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Tokyo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The NASDAQ Stock Market</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Toronto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Frankfurt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Шанхайская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Shanghai Stock Exchange</w:t>
            </w:r>
          </w:p>
        </w:tc>
      </w:tr>
      <w:tr w:rsidR="00434D07" w:rsidRPr="00591BAB" w:rsidTr="009D6B08">
        <w:tc>
          <w:tcPr>
            <w:tcW w:w="5891" w:type="dxa"/>
          </w:tcPr>
          <w:p w:rsidR="00434D07" w:rsidRPr="00591BAB" w:rsidRDefault="00434D07" w:rsidP="00434D07">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434D07" w:rsidRPr="00591BAB" w:rsidRDefault="00434D07" w:rsidP="00434D07">
            <w:pPr>
              <w:pStyle w:val="a8"/>
              <w:autoSpaceDN w:val="0"/>
              <w:adjustRightInd w:val="0"/>
              <w:spacing w:line="360" w:lineRule="auto"/>
              <w:ind w:left="0"/>
              <w:jc w:val="both"/>
              <w:rPr>
                <w:sz w:val="24"/>
                <w:szCs w:val="24"/>
              </w:rPr>
            </w:pPr>
            <w:r w:rsidRPr="00591BAB">
              <w:rPr>
                <w:sz w:val="24"/>
                <w:szCs w:val="24"/>
              </w:rPr>
              <w:t>SIX Swiss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Люксембургская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Luxembourg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Йоханнесбургская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Johannesburg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lang w:val="en-US"/>
              </w:rPr>
            </w:pPr>
            <w:r w:rsidRPr="00294665">
              <w:rPr>
                <w:sz w:val="24"/>
                <w:szCs w:val="24"/>
              </w:rPr>
              <w:t>Ирландская фондовая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Irish Stock Exchange</w:t>
            </w:r>
          </w:p>
        </w:tc>
      </w:tr>
      <w:tr w:rsidR="00434D07" w:rsidRPr="00591BAB" w:rsidTr="001B6A5B">
        <w:tc>
          <w:tcPr>
            <w:tcW w:w="5891" w:type="dxa"/>
            <w:vAlign w:val="bottom"/>
          </w:tcPr>
          <w:p w:rsidR="00434D07" w:rsidRPr="00591BAB" w:rsidRDefault="00434D07" w:rsidP="00434D07">
            <w:pPr>
              <w:pStyle w:val="a8"/>
              <w:autoSpaceDN w:val="0"/>
              <w:adjustRightInd w:val="0"/>
              <w:spacing w:line="360" w:lineRule="auto"/>
              <w:ind w:left="0" w:firstLine="567"/>
              <w:jc w:val="both"/>
              <w:rPr>
                <w:sz w:val="24"/>
                <w:szCs w:val="24"/>
              </w:rPr>
            </w:pPr>
            <w:r w:rsidRPr="00294665">
              <w:rPr>
                <w:sz w:val="24"/>
                <w:szCs w:val="24"/>
              </w:rPr>
              <w:t>Корейская биржа</w:t>
            </w:r>
          </w:p>
        </w:tc>
        <w:tc>
          <w:tcPr>
            <w:tcW w:w="3182" w:type="dxa"/>
            <w:vAlign w:val="bottom"/>
          </w:tcPr>
          <w:p w:rsidR="00434D07" w:rsidRPr="00591BAB" w:rsidRDefault="00434D07" w:rsidP="00434D07">
            <w:pPr>
              <w:pStyle w:val="a8"/>
              <w:autoSpaceDN w:val="0"/>
              <w:adjustRightInd w:val="0"/>
              <w:spacing w:line="360" w:lineRule="auto"/>
              <w:ind w:left="0"/>
              <w:jc w:val="both"/>
              <w:rPr>
                <w:sz w:val="24"/>
                <w:szCs w:val="24"/>
              </w:rPr>
            </w:pPr>
            <w:r w:rsidRPr="00294665">
              <w:rPr>
                <w:sz w:val="24"/>
                <w:szCs w:val="24"/>
              </w:rPr>
              <w:t>Korea Exchange</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3"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3"/>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20013939"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20013940"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20013941"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1E2915"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1E2915"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1E2915" w:rsidP="00AE239C">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1E2915" w:rsidP="00AE239C">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1E291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1E291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1E2915" w:rsidP="00AE239C">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1E291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1E2915"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1E291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1E2915" w:rsidP="00AE239C">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1E2915" w:rsidP="00AE239C">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1E291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a"/>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1E2915" w:rsidP="00AE239C">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1E2915" w:rsidP="00AE239C">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4"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4"/>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1E2915"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D4725C">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1E2915"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1E2915"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00524BBD" w:rsidRPr="0051730E">
        <w:rPr>
          <w:sz w:val="24"/>
          <w:szCs w:val="24"/>
        </w:rPr>
        <w:t>цена НРД, Cbonds Valuation, Cbonds Estimation, Rudip</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w:t>
      </w:r>
      <w:r w:rsidR="00FC28E4" w:rsidRPr="0051730E">
        <w:rPr>
          <w:sz w:val="24"/>
          <w:szCs w:val="24"/>
        </w:rPr>
        <w:t>справедливая цена, определенная в соответствии с настоящими Правилами определения СЧА</w:t>
      </w:r>
      <w:r w:rsidRPr="00591BAB">
        <w:rPr>
          <w:sz w:val="24"/>
          <w:szCs w:val="24"/>
        </w:rPr>
        <w:t xml:space="preserve"> + НКД по данным </w:t>
      </w:r>
      <w:r w:rsidR="00FC28E4">
        <w:rPr>
          <w:sz w:val="24"/>
          <w:szCs w:val="24"/>
        </w:rPr>
        <w:t>доступных информационных агентств</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FC28E4" w:rsidP="006C3818">
      <w:pPr>
        <w:numPr>
          <w:ilvl w:val="1"/>
          <w:numId w:val="68"/>
        </w:numPr>
        <w:suppressAutoHyphens w:val="0"/>
        <w:autoSpaceDE/>
        <w:spacing w:line="360" w:lineRule="auto"/>
        <w:ind w:left="0" w:firstLine="709"/>
        <w:jc w:val="both"/>
        <w:rPr>
          <w:rFonts w:eastAsia="Calibri"/>
          <w:sz w:val="24"/>
          <w:szCs w:val="24"/>
          <w:lang w:eastAsia="en-US"/>
        </w:rPr>
      </w:pPr>
      <w:r w:rsidRPr="0051730E">
        <w:rPr>
          <w:rFonts w:eastAsia="Calibri"/>
          <w:sz w:val="24"/>
          <w:szCs w:val="24"/>
          <w:lang w:eastAsia="en-US"/>
        </w:rPr>
        <w:t>При использовании данных об обесцененной задолженности Управляющая компания учитывает характер обесценения имеющейся задолженности, в том числе срок просрочки.</w:t>
      </w:r>
      <w:r w:rsidR="000903F9" w:rsidRPr="00591BAB">
        <w:rPr>
          <w:rFonts w:eastAsia="Calibri"/>
          <w:sz w:val="24"/>
          <w:szCs w:val="24"/>
          <w:lang w:eastAsia="en-US"/>
        </w:rPr>
        <w:t xml:space="preserve"> </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w:t>
      </w:r>
      <w:r w:rsidR="00FC28E4" w:rsidRPr="0051730E">
        <w:rPr>
          <w:sz w:val="24"/>
          <w:szCs w:val="24"/>
        </w:rPr>
        <w:t>Показатели Cost of Risk (CoR), используемые для расчета справедливой стоимости задолженности физических лиц.</w:t>
      </w:r>
      <w:r w:rsidR="00FC28E4">
        <w:rPr>
          <w:sz w:val="24"/>
          <w:szCs w:val="24"/>
        </w:rPr>
        <w:t xml:space="preserve"> </w:t>
      </w:r>
    </w:p>
    <w:p w:rsidR="00FC28E4" w:rsidRPr="0051730E" w:rsidRDefault="00FC28E4" w:rsidP="00FC28E4">
      <w:pPr>
        <w:suppressAutoHyphens w:val="0"/>
        <w:autoSpaceDN w:val="0"/>
        <w:adjustRightInd w:val="0"/>
        <w:spacing w:line="360" w:lineRule="auto"/>
        <w:ind w:firstLine="709"/>
        <w:jc w:val="both"/>
        <w:rPr>
          <w:sz w:val="24"/>
          <w:szCs w:val="24"/>
        </w:rPr>
      </w:pPr>
      <w:r w:rsidRPr="0051730E">
        <w:rPr>
          <w:sz w:val="24"/>
          <w:szCs w:val="24"/>
        </w:rPr>
        <w:t xml:space="preserve">Для целей расчета Cost of Risk в отношении необеспеченных прав требования к физическим лицам используется среднее значение отношение резерва под обесценение портфеля кредитов «потребительские и прочие ссуды физическим лицам» и «кредитные карты и овердрафтное кредитование физических лиц», к валовой балансовой стоимости таких кредитов, по данным отчетности </w:t>
      </w:r>
      <w:r w:rsidRPr="00323291">
        <w:rPr>
          <w:sz w:val="24"/>
          <w:szCs w:val="24"/>
        </w:rPr>
        <w:t>за 2021 год</w:t>
      </w:r>
      <w:r w:rsidRPr="00043C91">
        <w:rPr>
          <w:sz w:val="24"/>
          <w:szCs w:val="24"/>
        </w:rPr>
        <w:t xml:space="preserve"> </w:t>
      </w:r>
      <w:r w:rsidRPr="0051730E">
        <w:rPr>
          <w:sz w:val="24"/>
          <w:szCs w:val="24"/>
        </w:rPr>
        <w:t>банка ПАО Сбербанк</w:t>
      </w:r>
      <w:r>
        <w:rPr>
          <w:rStyle w:val="afa"/>
          <w:sz w:val="24"/>
          <w:szCs w:val="24"/>
        </w:rPr>
        <w:footnoteReference w:id="27"/>
      </w:r>
      <w:r w:rsidRPr="0051730E">
        <w:rPr>
          <w:sz w:val="24"/>
          <w:szCs w:val="24"/>
        </w:rPr>
        <w:t xml:space="preserve">, указанного в Приложении Б к Приложению </w:t>
      </w:r>
      <w:r>
        <w:rPr>
          <w:sz w:val="24"/>
          <w:szCs w:val="24"/>
        </w:rPr>
        <w:t>4</w:t>
      </w:r>
      <w:r w:rsidRPr="0051730E">
        <w:rPr>
          <w:sz w:val="24"/>
          <w:szCs w:val="24"/>
        </w:rPr>
        <w:t xml:space="preserve">. </w:t>
      </w:r>
    </w:p>
    <w:p w:rsidR="00FC28E4" w:rsidRPr="0051730E" w:rsidRDefault="00FC28E4" w:rsidP="00FC28E4">
      <w:pPr>
        <w:suppressAutoHyphens w:val="0"/>
        <w:autoSpaceDE/>
        <w:spacing w:line="360" w:lineRule="auto"/>
        <w:ind w:firstLine="709"/>
        <w:jc w:val="both"/>
        <w:rPr>
          <w:sz w:val="24"/>
          <w:szCs w:val="24"/>
        </w:rPr>
      </w:pPr>
      <w:r w:rsidRPr="0051730E">
        <w:rPr>
          <w:sz w:val="24"/>
          <w:szCs w:val="24"/>
        </w:rPr>
        <w:t>Для оценки стандартных активов используется значение CoR для стадии 1, для оценки кредитно-обесцененных активов используется значение CoR для стадии 2</w:t>
      </w:r>
    </w:p>
    <w:tbl>
      <w:tblPr>
        <w:tblW w:w="9214" w:type="dxa"/>
        <w:tblInd w:w="-10" w:type="dxa"/>
        <w:tblLook w:val="04A0" w:firstRow="1" w:lastRow="0" w:firstColumn="1" w:lastColumn="0" w:noHBand="0" w:noVBand="1"/>
      </w:tblPr>
      <w:tblGrid>
        <w:gridCol w:w="4600"/>
        <w:gridCol w:w="3080"/>
        <w:gridCol w:w="1534"/>
      </w:tblGrid>
      <w:tr w:rsidR="00FC28E4" w:rsidRPr="00730657" w:rsidTr="0051730E">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28E4" w:rsidRPr="0051730E" w:rsidRDefault="00FC28E4" w:rsidP="0051730E">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Необеспеченная задолженность физических лиц</w:t>
            </w:r>
          </w:p>
        </w:tc>
      </w:tr>
      <w:tr w:rsidR="00FC28E4" w:rsidRPr="00730657" w:rsidTr="0051730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FC28E4" w:rsidRPr="00730657" w:rsidRDefault="00FC28E4" w:rsidP="0051730E">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стадия кредитного портфеля</w:t>
            </w:r>
          </w:p>
        </w:tc>
        <w:tc>
          <w:tcPr>
            <w:tcW w:w="3080" w:type="dxa"/>
            <w:tcBorders>
              <w:top w:val="nil"/>
              <w:left w:val="nil"/>
              <w:bottom w:val="single" w:sz="4" w:space="0" w:color="auto"/>
              <w:right w:val="single" w:sz="4" w:space="0" w:color="auto"/>
            </w:tcBorders>
            <w:shd w:val="clear" w:color="auto" w:fill="auto"/>
            <w:noWrap/>
            <w:vAlign w:val="bottom"/>
            <w:hideMark/>
          </w:tcPr>
          <w:p w:rsidR="00FC28E4" w:rsidRPr="00730657" w:rsidRDefault="00FC28E4" w:rsidP="0051730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w:t>
            </w:r>
          </w:p>
        </w:tc>
        <w:tc>
          <w:tcPr>
            <w:tcW w:w="1534" w:type="dxa"/>
            <w:tcBorders>
              <w:top w:val="nil"/>
              <w:left w:val="nil"/>
              <w:bottom w:val="single" w:sz="4" w:space="0" w:color="auto"/>
              <w:right w:val="single" w:sz="8" w:space="0" w:color="auto"/>
            </w:tcBorders>
            <w:shd w:val="clear" w:color="auto" w:fill="auto"/>
            <w:noWrap/>
            <w:vAlign w:val="bottom"/>
            <w:hideMark/>
          </w:tcPr>
          <w:p w:rsidR="00FC28E4" w:rsidRPr="00730657" w:rsidRDefault="00FC28E4" w:rsidP="0051730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2</w:t>
            </w:r>
          </w:p>
        </w:tc>
      </w:tr>
      <w:tr w:rsidR="00FC28E4" w:rsidRPr="00730657" w:rsidTr="0051730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FC28E4" w:rsidRPr="00730657" w:rsidRDefault="00FC28E4" w:rsidP="0051730E">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FC28E4" w:rsidRPr="00730657" w:rsidRDefault="00FC28E4" w:rsidP="0051730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4 034,40</w:t>
            </w:r>
          </w:p>
        </w:tc>
        <w:tc>
          <w:tcPr>
            <w:tcW w:w="1534" w:type="dxa"/>
            <w:tcBorders>
              <w:top w:val="nil"/>
              <w:left w:val="nil"/>
              <w:bottom w:val="single" w:sz="4" w:space="0" w:color="auto"/>
              <w:right w:val="single" w:sz="8" w:space="0" w:color="auto"/>
            </w:tcBorders>
            <w:shd w:val="clear" w:color="auto" w:fill="auto"/>
            <w:noWrap/>
            <w:vAlign w:val="bottom"/>
            <w:hideMark/>
          </w:tcPr>
          <w:p w:rsidR="00FC28E4" w:rsidRPr="00730657" w:rsidRDefault="00FC28E4" w:rsidP="0051730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159,20</w:t>
            </w:r>
          </w:p>
        </w:tc>
      </w:tr>
      <w:tr w:rsidR="00FC28E4" w:rsidRPr="00730657" w:rsidTr="0051730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FC28E4" w:rsidRPr="00730657" w:rsidRDefault="00FC28E4" w:rsidP="0051730E">
            <w:pPr>
              <w:suppressAutoHyphens w:val="0"/>
              <w:autoSpaceDE/>
              <w:rPr>
                <w:rFonts w:ascii="Calibri" w:hAnsi="Calibri" w:cs="Calibri"/>
                <w:color w:val="000000"/>
                <w:sz w:val="22"/>
                <w:szCs w:val="22"/>
                <w:lang w:eastAsia="ru-RU"/>
              </w:rPr>
            </w:pPr>
            <w:r w:rsidRPr="00730657">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FC28E4" w:rsidRPr="00730657" w:rsidRDefault="00FC28E4" w:rsidP="0051730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70,70</w:t>
            </w:r>
          </w:p>
        </w:tc>
        <w:tc>
          <w:tcPr>
            <w:tcW w:w="1534" w:type="dxa"/>
            <w:tcBorders>
              <w:top w:val="nil"/>
              <w:left w:val="nil"/>
              <w:bottom w:val="single" w:sz="4" w:space="0" w:color="auto"/>
              <w:right w:val="single" w:sz="8" w:space="0" w:color="auto"/>
            </w:tcBorders>
            <w:shd w:val="clear" w:color="auto" w:fill="auto"/>
            <w:noWrap/>
            <w:vAlign w:val="bottom"/>
            <w:hideMark/>
          </w:tcPr>
          <w:p w:rsidR="00FC28E4" w:rsidRPr="00730657" w:rsidRDefault="00FC28E4" w:rsidP="0051730E">
            <w:pPr>
              <w:suppressAutoHyphens w:val="0"/>
              <w:autoSpaceDE/>
              <w:jc w:val="right"/>
              <w:rPr>
                <w:rFonts w:ascii="Calibri" w:hAnsi="Calibri" w:cs="Calibri"/>
                <w:color w:val="000000"/>
                <w:sz w:val="22"/>
                <w:szCs w:val="22"/>
                <w:lang w:eastAsia="ru-RU"/>
              </w:rPr>
            </w:pPr>
            <w:r w:rsidRPr="00730657">
              <w:rPr>
                <w:rFonts w:ascii="Calibri" w:hAnsi="Calibri" w:cs="Calibri"/>
                <w:color w:val="000000"/>
                <w:sz w:val="22"/>
                <w:szCs w:val="22"/>
                <w:lang w:eastAsia="ru-RU"/>
              </w:rPr>
              <w:t>33,50</w:t>
            </w:r>
          </w:p>
        </w:tc>
      </w:tr>
      <w:tr w:rsidR="00FC28E4" w:rsidRPr="00730657" w:rsidTr="0051730E">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rsidR="00FC28E4" w:rsidRPr="00730657" w:rsidRDefault="00FC28E4" w:rsidP="0051730E">
            <w:pPr>
              <w:suppressAutoHyphens w:val="0"/>
              <w:autoSpaceDE/>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rsidR="00FC28E4" w:rsidRPr="00730657" w:rsidRDefault="00FC28E4" w:rsidP="0051730E">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1,75</w:t>
            </w:r>
          </w:p>
        </w:tc>
        <w:tc>
          <w:tcPr>
            <w:tcW w:w="1534" w:type="dxa"/>
            <w:tcBorders>
              <w:top w:val="nil"/>
              <w:left w:val="nil"/>
              <w:bottom w:val="single" w:sz="8" w:space="0" w:color="auto"/>
              <w:right w:val="single" w:sz="8" w:space="0" w:color="auto"/>
            </w:tcBorders>
            <w:shd w:val="clear" w:color="auto" w:fill="auto"/>
            <w:noWrap/>
            <w:vAlign w:val="bottom"/>
            <w:hideMark/>
          </w:tcPr>
          <w:p w:rsidR="00FC28E4" w:rsidRPr="00730657" w:rsidRDefault="00FC28E4" w:rsidP="0051730E">
            <w:pPr>
              <w:suppressAutoHyphens w:val="0"/>
              <w:autoSpaceDE/>
              <w:jc w:val="right"/>
              <w:rPr>
                <w:rFonts w:ascii="Calibri" w:hAnsi="Calibri" w:cs="Calibri"/>
                <w:b/>
                <w:bCs/>
                <w:color w:val="000000"/>
                <w:sz w:val="22"/>
                <w:szCs w:val="22"/>
                <w:lang w:eastAsia="ru-RU"/>
              </w:rPr>
            </w:pPr>
            <w:r w:rsidRPr="00730657">
              <w:rPr>
                <w:rFonts w:ascii="Calibri" w:hAnsi="Calibri" w:cs="Calibri"/>
                <w:b/>
                <w:bCs/>
                <w:color w:val="000000"/>
                <w:sz w:val="22"/>
                <w:szCs w:val="22"/>
                <w:lang w:eastAsia="ru-RU"/>
              </w:rPr>
              <w:t>21,04</w:t>
            </w:r>
          </w:p>
        </w:tc>
      </w:tr>
    </w:tbl>
    <w:p w:rsidR="00FC28E4" w:rsidRPr="0093606D" w:rsidRDefault="00FC28E4" w:rsidP="00FC28E4">
      <w:pPr>
        <w:suppressAutoHyphens w:val="0"/>
        <w:autoSpaceDN w:val="0"/>
        <w:adjustRightInd w:val="0"/>
        <w:rPr>
          <w:rFonts w:ascii="Verdana" w:eastAsiaTheme="minorHAnsi" w:hAnsi="Verdana" w:cs="Verdana"/>
          <w:color w:val="000000"/>
          <w:sz w:val="24"/>
          <w:szCs w:val="24"/>
          <w:lang w:eastAsia="en-US"/>
        </w:rPr>
      </w:pPr>
    </w:p>
    <w:p w:rsidR="00FC28E4" w:rsidRPr="0051730E" w:rsidRDefault="00FC28E4" w:rsidP="00FC28E4">
      <w:pPr>
        <w:suppressAutoHyphens w:val="0"/>
        <w:autoSpaceDE/>
        <w:spacing w:line="360" w:lineRule="auto"/>
        <w:ind w:firstLine="851"/>
        <w:jc w:val="both"/>
        <w:rPr>
          <w:sz w:val="24"/>
          <w:szCs w:val="24"/>
        </w:rPr>
      </w:pPr>
      <w:r w:rsidRPr="0051730E">
        <w:rPr>
          <w:sz w:val="24"/>
          <w:szCs w:val="24"/>
        </w:rPr>
        <w:t xml:space="preserve">Для целей расчета Cost of Risk в отношении прав требования к физическим лицам, обеспеченных не менее чем на 80% от номинальной стоимости задолженности залогом жилой недвижимости, используется отношение резерва под обесценение портфеля ипотечных кредитов, к валовой балансовой стоимости таких кредитов, по данным отчетности </w:t>
      </w:r>
      <w:r w:rsidRPr="00CF4E5D">
        <w:rPr>
          <w:sz w:val="24"/>
          <w:szCs w:val="24"/>
        </w:rPr>
        <w:t>за 2021 год</w:t>
      </w:r>
      <w:r w:rsidRPr="00043C91">
        <w:rPr>
          <w:sz w:val="24"/>
          <w:szCs w:val="24"/>
        </w:rPr>
        <w:t xml:space="preserve"> </w:t>
      </w:r>
      <w:r w:rsidRPr="0051730E">
        <w:rPr>
          <w:sz w:val="24"/>
          <w:szCs w:val="24"/>
        </w:rPr>
        <w:t xml:space="preserve">банка ПАО Сбербанк, указанного в Приложении Б к Приложению </w:t>
      </w:r>
      <w:r>
        <w:rPr>
          <w:sz w:val="24"/>
          <w:szCs w:val="24"/>
        </w:rPr>
        <w:t>4</w:t>
      </w:r>
      <w:r w:rsidRPr="0051730E">
        <w:rPr>
          <w:sz w:val="24"/>
          <w:szCs w:val="24"/>
        </w:rPr>
        <w:t>.</w:t>
      </w:r>
    </w:p>
    <w:tbl>
      <w:tblPr>
        <w:tblW w:w="9214" w:type="dxa"/>
        <w:tblInd w:w="-10" w:type="dxa"/>
        <w:tblLook w:val="04A0" w:firstRow="1" w:lastRow="0" w:firstColumn="1" w:lastColumn="0" w:noHBand="0" w:noVBand="1"/>
      </w:tblPr>
      <w:tblGrid>
        <w:gridCol w:w="4600"/>
        <w:gridCol w:w="3080"/>
        <w:gridCol w:w="1534"/>
      </w:tblGrid>
      <w:tr w:rsidR="00FC28E4" w:rsidRPr="0093606D" w:rsidTr="0051730E">
        <w:trPr>
          <w:trHeight w:val="315"/>
        </w:trPr>
        <w:tc>
          <w:tcPr>
            <w:tcW w:w="9214"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FC28E4" w:rsidRPr="0051730E" w:rsidRDefault="00FC28E4" w:rsidP="0051730E">
            <w:pPr>
              <w:suppressAutoHyphens w:val="0"/>
              <w:autoSpaceDE/>
              <w:jc w:val="center"/>
              <w:rPr>
                <w:rFonts w:ascii="Calibri" w:hAnsi="Calibri" w:cs="Calibri"/>
                <w:b/>
                <w:bCs/>
                <w:i/>
                <w:color w:val="000000"/>
                <w:sz w:val="22"/>
                <w:szCs w:val="22"/>
                <w:lang w:eastAsia="ru-RU"/>
              </w:rPr>
            </w:pPr>
            <w:r w:rsidRPr="0051730E">
              <w:rPr>
                <w:rFonts w:ascii="Calibri" w:hAnsi="Calibri" w:cs="Calibri"/>
                <w:b/>
                <w:i/>
                <w:color w:val="000000"/>
                <w:sz w:val="22"/>
                <w:szCs w:val="22"/>
                <w:lang w:eastAsia="ru-RU"/>
              </w:rPr>
              <w:t>Обеспеченная задолженность физических лиц</w:t>
            </w:r>
          </w:p>
        </w:tc>
      </w:tr>
      <w:tr w:rsidR="00FC28E4" w:rsidRPr="0093606D" w:rsidTr="0051730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FC28E4" w:rsidRPr="0093606D" w:rsidRDefault="00FC28E4" w:rsidP="0051730E">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стадия кредитного портфеля</w:t>
            </w:r>
          </w:p>
        </w:tc>
        <w:tc>
          <w:tcPr>
            <w:tcW w:w="3080" w:type="dxa"/>
            <w:tcBorders>
              <w:top w:val="single" w:sz="4" w:space="0" w:color="auto"/>
              <w:left w:val="nil"/>
              <w:bottom w:val="single" w:sz="4" w:space="0" w:color="auto"/>
              <w:right w:val="single" w:sz="4" w:space="0" w:color="auto"/>
            </w:tcBorders>
            <w:shd w:val="clear" w:color="auto" w:fill="auto"/>
            <w:noWrap/>
            <w:vAlign w:val="bottom"/>
            <w:hideMark/>
          </w:tcPr>
          <w:p w:rsidR="00FC28E4" w:rsidRPr="0093606D" w:rsidRDefault="00FC28E4" w:rsidP="0051730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w:t>
            </w:r>
          </w:p>
        </w:tc>
        <w:tc>
          <w:tcPr>
            <w:tcW w:w="1534" w:type="dxa"/>
            <w:tcBorders>
              <w:top w:val="single" w:sz="4" w:space="0" w:color="auto"/>
              <w:left w:val="nil"/>
              <w:bottom w:val="single" w:sz="4" w:space="0" w:color="auto"/>
              <w:right w:val="single" w:sz="8" w:space="0" w:color="auto"/>
            </w:tcBorders>
            <w:shd w:val="clear" w:color="auto" w:fill="auto"/>
            <w:noWrap/>
            <w:vAlign w:val="bottom"/>
            <w:hideMark/>
          </w:tcPr>
          <w:p w:rsidR="00FC28E4" w:rsidRPr="0093606D" w:rsidRDefault="00FC28E4" w:rsidP="0051730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2</w:t>
            </w:r>
          </w:p>
        </w:tc>
      </w:tr>
      <w:tr w:rsidR="00FC28E4" w:rsidRPr="0093606D" w:rsidTr="0051730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FC28E4" w:rsidRPr="0093606D" w:rsidRDefault="00FC28E4" w:rsidP="0051730E">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Валовая стоимость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FC28E4" w:rsidRPr="0093606D" w:rsidRDefault="00FC28E4" w:rsidP="0051730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6 246,60</w:t>
            </w:r>
          </w:p>
        </w:tc>
        <w:tc>
          <w:tcPr>
            <w:tcW w:w="1534" w:type="dxa"/>
            <w:tcBorders>
              <w:top w:val="nil"/>
              <w:left w:val="nil"/>
              <w:bottom w:val="single" w:sz="4" w:space="0" w:color="auto"/>
              <w:right w:val="single" w:sz="8" w:space="0" w:color="auto"/>
            </w:tcBorders>
            <w:shd w:val="clear" w:color="auto" w:fill="auto"/>
            <w:noWrap/>
            <w:vAlign w:val="bottom"/>
            <w:hideMark/>
          </w:tcPr>
          <w:p w:rsidR="00FC28E4" w:rsidRPr="0093606D" w:rsidRDefault="00FC28E4" w:rsidP="0051730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304,50</w:t>
            </w:r>
          </w:p>
        </w:tc>
      </w:tr>
      <w:tr w:rsidR="00FC28E4" w:rsidRPr="0093606D" w:rsidTr="0051730E">
        <w:trPr>
          <w:trHeight w:val="300"/>
        </w:trPr>
        <w:tc>
          <w:tcPr>
            <w:tcW w:w="4600" w:type="dxa"/>
            <w:tcBorders>
              <w:top w:val="nil"/>
              <w:left w:val="single" w:sz="8" w:space="0" w:color="auto"/>
              <w:bottom w:val="single" w:sz="4" w:space="0" w:color="auto"/>
              <w:right w:val="single" w:sz="8" w:space="0" w:color="auto"/>
            </w:tcBorders>
            <w:shd w:val="clear" w:color="auto" w:fill="auto"/>
            <w:noWrap/>
            <w:vAlign w:val="bottom"/>
            <w:hideMark/>
          </w:tcPr>
          <w:p w:rsidR="00FC28E4" w:rsidRPr="0093606D" w:rsidRDefault="00FC28E4" w:rsidP="0051730E">
            <w:pPr>
              <w:suppressAutoHyphens w:val="0"/>
              <w:autoSpaceDE/>
              <w:rPr>
                <w:rFonts w:ascii="Calibri" w:hAnsi="Calibri" w:cs="Calibri"/>
                <w:color w:val="000000"/>
                <w:sz w:val="22"/>
                <w:szCs w:val="22"/>
                <w:lang w:eastAsia="ru-RU"/>
              </w:rPr>
            </w:pPr>
            <w:r w:rsidRPr="0093606D">
              <w:rPr>
                <w:rFonts w:ascii="Calibri" w:hAnsi="Calibri" w:cs="Calibri"/>
                <w:color w:val="000000"/>
                <w:sz w:val="22"/>
                <w:szCs w:val="22"/>
                <w:lang w:eastAsia="ru-RU"/>
              </w:rPr>
              <w:t>резерв под обесценение кредитов, млрд. руб.</w:t>
            </w:r>
          </w:p>
        </w:tc>
        <w:tc>
          <w:tcPr>
            <w:tcW w:w="3080" w:type="dxa"/>
            <w:tcBorders>
              <w:top w:val="nil"/>
              <w:left w:val="nil"/>
              <w:bottom w:val="single" w:sz="4" w:space="0" w:color="auto"/>
              <w:right w:val="single" w:sz="4" w:space="0" w:color="auto"/>
            </w:tcBorders>
            <w:shd w:val="clear" w:color="auto" w:fill="auto"/>
            <w:noWrap/>
            <w:vAlign w:val="bottom"/>
            <w:hideMark/>
          </w:tcPr>
          <w:p w:rsidR="00FC28E4" w:rsidRPr="0093606D" w:rsidRDefault="00FC28E4" w:rsidP="0051730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8,90</w:t>
            </w:r>
          </w:p>
        </w:tc>
        <w:tc>
          <w:tcPr>
            <w:tcW w:w="1534" w:type="dxa"/>
            <w:tcBorders>
              <w:top w:val="nil"/>
              <w:left w:val="nil"/>
              <w:bottom w:val="single" w:sz="4" w:space="0" w:color="auto"/>
              <w:right w:val="single" w:sz="8" w:space="0" w:color="auto"/>
            </w:tcBorders>
            <w:shd w:val="clear" w:color="auto" w:fill="auto"/>
            <w:noWrap/>
            <w:vAlign w:val="bottom"/>
            <w:hideMark/>
          </w:tcPr>
          <w:p w:rsidR="00FC28E4" w:rsidRPr="0093606D" w:rsidRDefault="00FC28E4" w:rsidP="0051730E">
            <w:pPr>
              <w:suppressAutoHyphens w:val="0"/>
              <w:autoSpaceDE/>
              <w:jc w:val="right"/>
              <w:rPr>
                <w:rFonts w:ascii="Calibri" w:hAnsi="Calibri" w:cs="Calibri"/>
                <w:color w:val="000000"/>
                <w:sz w:val="22"/>
                <w:szCs w:val="22"/>
                <w:lang w:eastAsia="ru-RU"/>
              </w:rPr>
            </w:pPr>
            <w:r w:rsidRPr="0093606D">
              <w:rPr>
                <w:rFonts w:ascii="Calibri" w:hAnsi="Calibri" w:cs="Calibri"/>
                <w:color w:val="000000"/>
                <w:sz w:val="22"/>
                <w:szCs w:val="22"/>
                <w:lang w:eastAsia="ru-RU"/>
              </w:rPr>
              <w:t>15,20</w:t>
            </w:r>
          </w:p>
        </w:tc>
      </w:tr>
      <w:tr w:rsidR="00FC28E4" w:rsidRPr="0093606D" w:rsidTr="0051730E">
        <w:trPr>
          <w:trHeight w:val="315"/>
        </w:trPr>
        <w:tc>
          <w:tcPr>
            <w:tcW w:w="4600" w:type="dxa"/>
            <w:tcBorders>
              <w:top w:val="nil"/>
              <w:left w:val="single" w:sz="8" w:space="0" w:color="auto"/>
              <w:bottom w:val="single" w:sz="8" w:space="0" w:color="auto"/>
              <w:right w:val="single" w:sz="8" w:space="0" w:color="auto"/>
            </w:tcBorders>
            <w:shd w:val="clear" w:color="auto" w:fill="auto"/>
            <w:noWrap/>
            <w:vAlign w:val="bottom"/>
            <w:hideMark/>
          </w:tcPr>
          <w:p w:rsidR="00FC28E4" w:rsidRPr="0093606D" w:rsidRDefault="00FC28E4" w:rsidP="0051730E">
            <w:pPr>
              <w:suppressAutoHyphens w:val="0"/>
              <w:autoSpaceDE/>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CoR</w:t>
            </w:r>
          </w:p>
        </w:tc>
        <w:tc>
          <w:tcPr>
            <w:tcW w:w="3080" w:type="dxa"/>
            <w:tcBorders>
              <w:top w:val="nil"/>
              <w:left w:val="nil"/>
              <w:bottom w:val="single" w:sz="8" w:space="0" w:color="auto"/>
              <w:right w:val="single" w:sz="4" w:space="0" w:color="auto"/>
            </w:tcBorders>
            <w:shd w:val="clear" w:color="auto" w:fill="auto"/>
            <w:noWrap/>
            <w:vAlign w:val="bottom"/>
            <w:hideMark/>
          </w:tcPr>
          <w:p w:rsidR="00FC28E4" w:rsidRPr="0093606D" w:rsidRDefault="00FC28E4" w:rsidP="0051730E">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0,14</w:t>
            </w:r>
          </w:p>
        </w:tc>
        <w:tc>
          <w:tcPr>
            <w:tcW w:w="1534" w:type="dxa"/>
            <w:tcBorders>
              <w:top w:val="nil"/>
              <w:left w:val="nil"/>
              <w:bottom w:val="single" w:sz="8" w:space="0" w:color="auto"/>
              <w:right w:val="single" w:sz="8" w:space="0" w:color="auto"/>
            </w:tcBorders>
            <w:shd w:val="clear" w:color="auto" w:fill="auto"/>
            <w:noWrap/>
            <w:vAlign w:val="bottom"/>
            <w:hideMark/>
          </w:tcPr>
          <w:p w:rsidR="00FC28E4" w:rsidRPr="0093606D" w:rsidRDefault="00FC28E4" w:rsidP="0051730E">
            <w:pPr>
              <w:suppressAutoHyphens w:val="0"/>
              <w:autoSpaceDE/>
              <w:jc w:val="right"/>
              <w:rPr>
                <w:rFonts w:ascii="Calibri" w:hAnsi="Calibri" w:cs="Calibri"/>
                <w:b/>
                <w:bCs/>
                <w:color w:val="000000"/>
                <w:sz w:val="22"/>
                <w:szCs w:val="22"/>
                <w:lang w:eastAsia="ru-RU"/>
              </w:rPr>
            </w:pPr>
            <w:r w:rsidRPr="0093606D">
              <w:rPr>
                <w:rFonts w:ascii="Calibri" w:hAnsi="Calibri" w:cs="Calibri"/>
                <w:b/>
                <w:bCs/>
                <w:color w:val="000000"/>
                <w:sz w:val="22"/>
                <w:szCs w:val="22"/>
                <w:lang w:eastAsia="ru-RU"/>
              </w:rPr>
              <w:t>4,99</w:t>
            </w:r>
          </w:p>
        </w:tc>
      </w:tr>
    </w:tbl>
    <w:p w:rsidR="00FC28E4" w:rsidRDefault="00FC28E4" w:rsidP="00FC28E4">
      <w:pPr>
        <w:pStyle w:val="a8"/>
        <w:spacing w:line="360" w:lineRule="auto"/>
        <w:ind w:left="0" w:firstLine="709"/>
        <w:jc w:val="both"/>
        <w:rPr>
          <w:rFonts w:ascii="Verdana" w:hAnsi="Verdana"/>
        </w:rPr>
      </w:pPr>
    </w:p>
    <w:p w:rsidR="000903F9" w:rsidRPr="000B09F4" w:rsidRDefault="00FC28E4" w:rsidP="000903F9">
      <w:pPr>
        <w:suppressAutoHyphens w:val="0"/>
        <w:autoSpaceDE/>
        <w:spacing w:line="25" w:lineRule="atLeast"/>
        <w:ind w:firstLine="709"/>
        <w:jc w:val="both"/>
        <w:rPr>
          <w:rFonts w:eastAsia="Calibri"/>
          <w:sz w:val="24"/>
          <w:szCs w:val="24"/>
          <w:lang w:eastAsia="en-US"/>
        </w:rPr>
      </w:pPr>
      <w:r w:rsidRPr="000B09F4">
        <w:rPr>
          <w:sz w:val="24"/>
          <w:szCs w:val="24"/>
        </w:rPr>
        <w:t xml:space="preserve">Если права требования к физическому лицу обеспечены иным видом имущества (за исключением необеспеченного поручительства, гарантии, опционного соглашения, страховки), то для оценки с учетом обеспечения используется </w:t>
      </w:r>
      <w:r w:rsidRPr="000B09F4">
        <w:rPr>
          <w:sz w:val="24"/>
          <w:szCs w:val="24"/>
          <w:lang w:val="en-US"/>
        </w:rPr>
        <w:t>CoR</w:t>
      </w:r>
      <w:r w:rsidRPr="000B09F4">
        <w:rPr>
          <w:sz w:val="24"/>
          <w:szCs w:val="24"/>
        </w:rPr>
        <w:t xml:space="preserve">, рассчитанный по необеспеченным портфелям кредитов по данным отчетности банков, составленной в соответствии с МСФО, при этом величина </w:t>
      </w:r>
      <w:r w:rsidRPr="000B09F4">
        <w:rPr>
          <w:sz w:val="24"/>
          <w:szCs w:val="24"/>
          <w:lang w:val="en-US"/>
        </w:rPr>
        <w:t>CoR</w:t>
      </w:r>
      <w:r w:rsidRPr="000B09F4">
        <w:rPr>
          <w:sz w:val="24"/>
          <w:szCs w:val="24"/>
        </w:rPr>
        <w:t xml:space="preserve"> приравнивается к </w:t>
      </w:r>
      <w:r w:rsidRPr="000B09F4">
        <w:rPr>
          <w:sz w:val="24"/>
          <w:szCs w:val="24"/>
          <w:lang w:val="en-US"/>
        </w:rPr>
        <w:t>PD</w:t>
      </w:r>
      <w:r w:rsidRPr="000B09F4">
        <w:rPr>
          <w:sz w:val="24"/>
          <w:szCs w:val="24"/>
        </w:rPr>
        <w:t xml:space="preserve">. </w:t>
      </w:r>
      <w:r w:rsidRPr="000B09F4">
        <w:rPr>
          <w:sz w:val="24"/>
          <w:szCs w:val="24"/>
          <w:lang w:val="en-US"/>
        </w:rPr>
        <w:t>LGD</w:t>
      </w:r>
      <w:r w:rsidRPr="000B09F4">
        <w:rPr>
          <w:sz w:val="24"/>
          <w:szCs w:val="24"/>
        </w:rPr>
        <w:t xml:space="preserve"> с учетом обеспечения определяется в соответствии с Разделом 5 настоящего Приложения.</w:t>
      </w:r>
      <w:r w:rsidR="000903F9" w:rsidRPr="000B09F4">
        <w:rPr>
          <w:rFonts w:eastAsia="Calibri"/>
          <w:sz w:val="24"/>
          <w:szCs w:val="24"/>
          <w:lang w:eastAsia="en-US"/>
        </w:rPr>
        <w:t xml:space="preserve"> </w:t>
      </w: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1E2915"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28"/>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29"/>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29183F" w:rsidRDefault="0029183F"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2511B9">
            <w:pPr>
              <w:spacing w:line="360" w:lineRule="auto"/>
              <w:jc w:val="both"/>
              <w:rPr>
                <w:bCs/>
                <w:sz w:val="24"/>
                <w:szCs w:val="24"/>
                <w:lang w:eastAsia="ru-RU"/>
              </w:rPr>
            </w:pPr>
            <w:r w:rsidRPr="00591BAB">
              <w:rPr>
                <w:bCs/>
                <w:sz w:val="24"/>
                <w:szCs w:val="24"/>
                <w:lang w:eastAsia="ru-RU"/>
              </w:rPr>
              <w:t>Кредиторская задолженность по вознаграждениям управляющей компании, с</w:t>
            </w:r>
            <w:r w:rsidR="002511B9">
              <w:rPr>
                <w:bCs/>
                <w:sz w:val="24"/>
                <w:szCs w:val="24"/>
                <w:lang w:eastAsia="ru-RU"/>
              </w:rPr>
              <w:t>пециализированному депозитарию</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0"/>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2"/>
        <w:gridCol w:w="7961"/>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2511B9">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A22F12">
        <w:trPr>
          <w:trHeight w:val="85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w:t>
            </w:r>
            <w:r w:rsidR="00EC26C2">
              <w:rPr>
                <w:bCs/>
                <w:sz w:val="24"/>
                <w:szCs w:val="24"/>
                <w:lang w:eastAsia="ru-RU"/>
              </w:rPr>
              <w:t>данными доступных информационных систем</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00EC26C2">
              <w:rPr>
                <w:sz w:val="24"/>
                <w:szCs w:val="24"/>
                <w:lang w:eastAsia="ru-RU"/>
              </w:rPr>
              <w:t>доступных информационных систем</w:t>
            </w:r>
            <w:r w:rsidRPr="00591BAB">
              <w:rPr>
                <w:sz w:val="24"/>
                <w:szCs w:val="24"/>
                <w:lang w:eastAsia="ru-RU"/>
              </w:rPr>
              <w:t>;</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511B9">
        <w:trPr>
          <w:trHeight w:val="416"/>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01"/>
        <w:gridCol w:w="7810"/>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308"/>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2511B9">
        <w:trPr>
          <w:trHeight w:val="1410"/>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2511B9" w:rsidRDefault="007455FD" w:rsidP="002511B9">
            <w:pPr>
              <w:spacing w:line="360" w:lineRule="auto"/>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2511B9" w:rsidRDefault="007455FD" w:rsidP="002511B9">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591BAB" w:rsidRDefault="007455FD" w:rsidP="00E845C5">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pStyle w:val="a8"/>
              <w:spacing w:line="360" w:lineRule="auto"/>
              <w:ind w:left="459" w:hanging="141"/>
              <w:jc w:val="both"/>
              <w:rPr>
                <w:bCs/>
                <w:sz w:val="24"/>
                <w:szCs w:val="24"/>
                <w:lang w:eastAsia="ru-RU"/>
              </w:rPr>
            </w:pP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31"/>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86"/>
        <w:gridCol w:w="7725"/>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A44ACB">
        <w:trPr>
          <w:trHeight w:val="1410"/>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 xml:space="preserve">МОДЕЛЬ ОПРЕДЕЛЕНИЯ РАСЧЕТНОЙ ЦЕНЫ ДЛЯ РОССИЙСКИХ ДОЛГОВЫХ ЦЕННЫХ БУМАГ И РОССИЙСКИХ ДОЛЕВЫХ ЦЕННЫХ БУМАГ, НОМИНИРОВАННЫХ В РУБЛЯХ И ЕВРООБЛИГАЦИЙ </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20013942"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1E2915"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1E2915"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1E2915"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1E2915"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1E2915"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1E2915"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w:t>
      </w:r>
      <w:r w:rsidR="004A2DAF">
        <w:rPr>
          <w:sz w:val="24"/>
          <w:szCs w:val="24"/>
        </w:rPr>
        <w:t xml:space="preserve">(Индексы, рассчитываемые </w:t>
      </w:r>
      <w:r w:rsidR="004A2DAF">
        <w:rPr>
          <w:sz w:val="24"/>
          <w:szCs w:val="24"/>
          <w:lang w:val="en-US"/>
        </w:rPr>
        <w:t>CBonds</w:t>
      </w:r>
      <w:r w:rsidR="004A2DAF">
        <w:rPr>
          <w:sz w:val="24"/>
          <w:szCs w:val="24"/>
        </w:rPr>
        <w:t>: кривые доходности «</w:t>
      </w:r>
      <w:r w:rsidR="004A2DAF">
        <w:rPr>
          <w:sz w:val="24"/>
          <w:szCs w:val="24"/>
          <w:lang w:val="en-US"/>
        </w:rPr>
        <w:t>USA</w:t>
      </w:r>
      <w:r w:rsidR="004A2DAF" w:rsidRPr="0051730E">
        <w:rPr>
          <w:sz w:val="24"/>
          <w:szCs w:val="24"/>
        </w:rPr>
        <w:t xml:space="preserve"> </w:t>
      </w:r>
      <w:r w:rsidR="004A2DAF">
        <w:rPr>
          <w:sz w:val="24"/>
          <w:szCs w:val="24"/>
          <w:lang w:val="en-US"/>
        </w:rPr>
        <w:t>Yield</w:t>
      </w:r>
      <w:r w:rsidR="004A2DAF" w:rsidRPr="0051730E">
        <w:rPr>
          <w:sz w:val="24"/>
          <w:szCs w:val="24"/>
        </w:rPr>
        <w:t xml:space="preserve"> </w:t>
      </w:r>
      <w:r w:rsidR="004A2DAF">
        <w:rPr>
          <w:sz w:val="24"/>
          <w:szCs w:val="24"/>
          <w:lang w:val="en-US"/>
        </w:rPr>
        <w:t>Curve</w:t>
      </w:r>
      <w:r w:rsidR="004A2DAF" w:rsidRPr="0051730E">
        <w:rPr>
          <w:sz w:val="24"/>
          <w:szCs w:val="24"/>
        </w:rPr>
        <w:t xml:space="preserve"> </w:t>
      </w:r>
      <w:r w:rsidR="004A2DAF">
        <w:rPr>
          <w:sz w:val="24"/>
          <w:szCs w:val="24"/>
          <w:lang w:val="en-US"/>
        </w:rPr>
        <w:t>Index</w:t>
      </w:r>
      <w:r w:rsidR="004A2DAF">
        <w:rPr>
          <w:sz w:val="24"/>
          <w:szCs w:val="24"/>
        </w:rPr>
        <w:t>» для долларов США, «</w:t>
      </w:r>
      <w:r w:rsidR="004A2DAF">
        <w:rPr>
          <w:sz w:val="24"/>
          <w:szCs w:val="24"/>
          <w:lang w:val="en-US"/>
        </w:rPr>
        <w:t>Eurozone</w:t>
      </w:r>
      <w:r w:rsidR="004A2DAF" w:rsidRPr="0051730E">
        <w:rPr>
          <w:sz w:val="24"/>
          <w:szCs w:val="24"/>
        </w:rPr>
        <w:t xml:space="preserve"> </w:t>
      </w:r>
      <w:r w:rsidR="004A2DAF">
        <w:rPr>
          <w:sz w:val="24"/>
          <w:szCs w:val="24"/>
          <w:lang w:val="en-US"/>
        </w:rPr>
        <w:t>Par</w:t>
      </w:r>
      <w:r w:rsidR="004A2DAF" w:rsidRPr="0051730E">
        <w:rPr>
          <w:sz w:val="24"/>
          <w:szCs w:val="24"/>
        </w:rPr>
        <w:t xml:space="preserve"> </w:t>
      </w:r>
      <w:r w:rsidR="004A2DAF">
        <w:rPr>
          <w:sz w:val="24"/>
          <w:szCs w:val="24"/>
          <w:lang w:val="en-US"/>
        </w:rPr>
        <w:t>Yield</w:t>
      </w:r>
      <w:r w:rsidR="004A2DAF" w:rsidRPr="0051730E">
        <w:rPr>
          <w:sz w:val="24"/>
          <w:szCs w:val="24"/>
        </w:rPr>
        <w:t xml:space="preserve"> </w:t>
      </w:r>
      <w:r w:rsidR="004A2DAF">
        <w:rPr>
          <w:sz w:val="24"/>
          <w:szCs w:val="24"/>
          <w:lang w:val="en-US"/>
        </w:rPr>
        <w:t>Curve</w:t>
      </w:r>
      <w:r w:rsidR="004A2DAF">
        <w:rPr>
          <w:sz w:val="24"/>
          <w:szCs w:val="24"/>
        </w:rPr>
        <w:t xml:space="preserve"> - </w:t>
      </w:r>
      <w:r w:rsidR="004A2DAF">
        <w:rPr>
          <w:sz w:val="24"/>
          <w:szCs w:val="24"/>
          <w:lang w:val="en-US"/>
        </w:rPr>
        <w:t>AAA</w:t>
      </w:r>
      <w:r w:rsidR="004A2DAF" w:rsidRPr="0051730E">
        <w:rPr>
          <w:sz w:val="24"/>
          <w:szCs w:val="24"/>
        </w:rPr>
        <w:t xml:space="preserve"> </w:t>
      </w:r>
      <w:r w:rsidR="004A2DAF">
        <w:rPr>
          <w:sz w:val="24"/>
          <w:szCs w:val="24"/>
          <w:lang w:val="en-US"/>
        </w:rPr>
        <w:t>rated</w:t>
      </w:r>
      <w:r w:rsidR="004A2DAF">
        <w:rPr>
          <w:sz w:val="24"/>
          <w:szCs w:val="24"/>
        </w:rPr>
        <w:t>» для евро, «</w:t>
      </w:r>
      <w:r w:rsidR="004A2DAF">
        <w:rPr>
          <w:sz w:val="24"/>
          <w:szCs w:val="24"/>
          <w:lang w:val="en-US"/>
        </w:rPr>
        <w:t>UK</w:t>
      </w:r>
      <w:r w:rsidR="004A2DAF" w:rsidRPr="0051730E">
        <w:rPr>
          <w:sz w:val="24"/>
          <w:szCs w:val="24"/>
        </w:rPr>
        <w:t xml:space="preserve"> </w:t>
      </w:r>
      <w:r w:rsidR="004A2DAF">
        <w:rPr>
          <w:sz w:val="24"/>
          <w:szCs w:val="24"/>
          <w:lang w:val="en-US"/>
        </w:rPr>
        <w:t>Yield</w:t>
      </w:r>
      <w:r w:rsidR="004A2DAF" w:rsidRPr="0051730E">
        <w:rPr>
          <w:sz w:val="24"/>
          <w:szCs w:val="24"/>
        </w:rPr>
        <w:t xml:space="preserve"> </w:t>
      </w:r>
      <w:r w:rsidR="004A2DAF">
        <w:rPr>
          <w:sz w:val="24"/>
          <w:szCs w:val="24"/>
          <w:lang w:val="en-US"/>
        </w:rPr>
        <w:t>Curve</w:t>
      </w:r>
      <w:r w:rsidR="004A2DAF" w:rsidRPr="0051730E">
        <w:rPr>
          <w:sz w:val="24"/>
          <w:szCs w:val="24"/>
        </w:rPr>
        <w:t xml:space="preserve"> </w:t>
      </w:r>
      <w:r w:rsidR="004A2DAF">
        <w:rPr>
          <w:sz w:val="24"/>
          <w:szCs w:val="24"/>
          <w:lang w:val="en-US"/>
        </w:rPr>
        <w:t>Index</w:t>
      </w:r>
      <w:r w:rsidR="004A2DAF">
        <w:rPr>
          <w:sz w:val="24"/>
          <w:szCs w:val="24"/>
        </w:rPr>
        <w:t>» для фунтов стерлингов, «Switzerland Yield Curve Index» и т.п.</w:t>
      </w:r>
      <w:r w:rsidR="004A2DAF" w:rsidRPr="0099274E">
        <w:rPr>
          <w:sz w:val="24"/>
          <w:szCs w:val="24"/>
        </w:rPr>
        <w:t>);</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w:t>
      </w:r>
      <w:r w:rsidR="004A2DAF">
        <w:rPr>
          <w:sz w:val="24"/>
          <w:szCs w:val="24"/>
        </w:rPr>
        <w:t xml:space="preserve">используется на основе данных </w:t>
      </w:r>
      <w:r w:rsidR="004A2DAF">
        <w:rPr>
          <w:sz w:val="24"/>
          <w:szCs w:val="24"/>
          <w:lang w:val="en-US"/>
        </w:rPr>
        <w:t>CBOnds</w:t>
      </w:r>
      <w:r w:rsidR="004A2DAF">
        <w:rPr>
          <w:sz w:val="24"/>
          <w:szCs w:val="24"/>
        </w:rPr>
        <w:t xml:space="preserve">, как последнее доступное значение </w:t>
      </w:r>
      <w:r w:rsidR="004A2DAF">
        <w:rPr>
          <w:sz w:val="24"/>
          <w:szCs w:val="24"/>
          <w:lang w:val="en-US"/>
        </w:rPr>
        <w:t>G</w:t>
      </w:r>
      <w:r w:rsidR="004A2DAF">
        <w:rPr>
          <w:sz w:val="24"/>
          <w:szCs w:val="24"/>
        </w:rPr>
        <w:t>-</w:t>
      </w:r>
      <w:r w:rsidR="004A2DAF">
        <w:rPr>
          <w:sz w:val="24"/>
          <w:szCs w:val="24"/>
          <w:lang w:val="en-US"/>
        </w:rPr>
        <w:t>spread</w:t>
      </w:r>
      <w:r w:rsidR="004A2DAF">
        <w:rPr>
          <w:sz w:val="24"/>
          <w:szCs w:val="24"/>
        </w:rPr>
        <w:t xml:space="preserve">, полученный на базе источника данных </w:t>
      </w:r>
      <w:r w:rsidR="004A2DAF">
        <w:rPr>
          <w:sz w:val="24"/>
          <w:szCs w:val="24"/>
          <w:lang w:val="en-US"/>
        </w:rPr>
        <w:t>CBonds</w:t>
      </w:r>
      <w:r w:rsidR="004A2DAF" w:rsidRPr="0051730E">
        <w:rPr>
          <w:sz w:val="24"/>
          <w:szCs w:val="24"/>
        </w:rPr>
        <w:t xml:space="preserve"> </w:t>
      </w:r>
      <w:r w:rsidR="004A2DAF">
        <w:rPr>
          <w:sz w:val="24"/>
          <w:szCs w:val="24"/>
          <w:lang w:val="en-US"/>
        </w:rPr>
        <w:t>Estimation</w:t>
      </w:r>
      <w:r w:rsidR="004A2DAF">
        <w:rPr>
          <w:sz w:val="24"/>
          <w:szCs w:val="24"/>
        </w:rPr>
        <w:t>.</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К</w:t>
      </w:r>
      <w:r w:rsidR="004A2DAF">
        <w:rPr>
          <w:b/>
          <w:sz w:val="24"/>
          <w:szCs w:val="24"/>
          <w:lang w:eastAsia="ru-RU"/>
        </w:rPr>
        <w:t>О</w:t>
      </w:r>
      <w:r w:rsidR="003A2DD0" w:rsidRPr="00591BAB">
        <w:rPr>
          <w:b/>
          <w:sz w:val="24"/>
          <w:szCs w:val="24"/>
          <w:lang w:eastAsia="ru-RU"/>
        </w:rPr>
        <w:t>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w:t>
      </w:r>
      <w:r w:rsidR="004A2DAF">
        <w:rPr>
          <w:sz w:val="24"/>
          <w:szCs w:val="24"/>
        </w:rPr>
        <w:t>ю</w:t>
      </w:r>
      <w:r w:rsidRPr="00591BAB">
        <w:rPr>
          <w:sz w:val="24"/>
          <w:szCs w:val="24"/>
        </w:rPr>
        <w:t xml:space="preserve">тся   </w:t>
      </w:r>
      <w:r w:rsidR="004A2DAF">
        <w:rPr>
          <w:sz w:val="24"/>
          <w:szCs w:val="24"/>
        </w:rPr>
        <w:t xml:space="preserve">курсы закрытия </w:t>
      </w:r>
      <w:r w:rsidR="004A2DAF" w:rsidRPr="00E233BD">
        <w:rPr>
          <w:sz w:val="24"/>
          <w:szCs w:val="24"/>
        </w:rPr>
        <w:t>TOD и TOM ПАО «Московская биржа»</w:t>
      </w:r>
      <w:r w:rsidR="004A2DAF">
        <w:rPr>
          <w:sz w:val="24"/>
          <w:szCs w:val="24"/>
        </w:rPr>
        <w:t xml:space="preserve"> последнего торгового дня за исключением случаев, когда неторговый день (или отсутствие валютных торгов на бирже)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способными существенно повлиять на изменение курсов в такой неторговый день по сравнению с последним торговым днем. В исключительных случаях, управляющая компания определяет курс на основе экспертного (мотивированного) суждения</w:t>
      </w:r>
      <w:r w:rsidR="004A2DAF" w:rsidRPr="00403135">
        <w:rPr>
          <w:sz w:val="24"/>
          <w:szCs w:val="24"/>
        </w:rPr>
        <w:t xml:space="preserve"> </w:t>
      </w:r>
      <w:r w:rsidR="004A2DAF">
        <w:rPr>
          <w:sz w:val="24"/>
          <w:szCs w:val="24"/>
        </w:rPr>
        <w:t>в том числе основываясь на кросс-курсах валют по данным информационного агентства</w:t>
      </w:r>
      <w:r w:rsidR="004A2DAF" w:rsidRPr="00AB7618">
        <w:rPr>
          <w:sz w:val="24"/>
          <w:szCs w:val="24"/>
        </w:rPr>
        <w:t xml:space="preserve"> </w:t>
      </w:r>
      <w:r w:rsidR="004A2DAF">
        <w:rPr>
          <w:sz w:val="24"/>
          <w:szCs w:val="24"/>
        </w:rPr>
        <w:t>Сбондс (</w:t>
      </w:r>
      <w:r w:rsidR="004A2DAF">
        <w:rPr>
          <w:sz w:val="24"/>
          <w:szCs w:val="24"/>
          <w:lang w:val="en-US"/>
        </w:rPr>
        <w:t>Cbonds</w:t>
      </w:r>
      <w:r w:rsidR="004A2DAF" w:rsidRPr="00AB7618">
        <w:rPr>
          <w:sz w:val="24"/>
          <w:szCs w:val="24"/>
        </w:rPr>
        <w:t>.</w:t>
      </w:r>
      <w:r w:rsidR="004A2DAF">
        <w:rPr>
          <w:sz w:val="24"/>
          <w:szCs w:val="24"/>
          <w:lang w:val="en-US"/>
        </w:rPr>
        <w:t>ru</w:t>
      </w:r>
      <w:r w:rsidR="004A2DAF">
        <w:rPr>
          <w:sz w:val="24"/>
          <w:szCs w:val="24"/>
        </w:rPr>
        <w:t>) или информационной системы «Интерфакс» на дату определения СЧА, при условии, если существенность влияния курсов и возникшие обстоятельства не приводят к затруднению (невозможности) определения справедливой стоимости активов</w:t>
      </w:r>
      <w:r w:rsidRPr="00591BAB">
        <w:rPr>
          <w:sz w:val="24"/>
          <w:szCs w:val="24"/>
        </w:rPr>
        <w:t>.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E845C5">
      <w:pPr>
        <w:spacing w:line="360" w:lineRule="auto"/>
        <w:ind w:firstLine="709"/>
        <w:jc w:val="both"/>
        <w:rPr>
          <w:sz w:val="24"/>
          <w:szCs w:val="24"/>
        </w:rPr>
      </w:pPr>
      <w:r w:rsidRPr="00591BAB">
        <w:rPr>
          <w:sz w:val="24"/>
          <w:szCs w:val="24"/>
        </w:rPr>
        <w:t xml:space="preserve">CUR/USD – </w:t>
      </w:r>
      <w:r w:rsidR="00434D07" w:rsidRPr="00AD2F2B">
        <w:rPr>
          <w:sz w:val="24"/>
          <w:szCs w:val="24"/>
        </w:rPr>
        <w:t xml:space="preserve">цена </w:t>
      </w:r>
      <w:r w:rsidR="00434D07">
        <w:rPr>
          <w:sz w:val="24"/>
          <w:szCs w:val="24"/>
        </w:rPr>
        <w:t xml:space="preserve">по сделкам </w:t>
      </w:r>
      <w:r w:rsidR="00434D07" w:rsidRPr="00466985">
        <w:rPr>
          <w:sz w:val="24"/>
          <w:szCs w:val="24"/>
        </w:rPr>
        <w:t>spot</w:t>
      </w:r>
      <w:r w:rsidR="00434D07">
        <w:rPr>
          <w:sz w:val="24"/>
          <w:szCs w:val="24"/>
        </w:rPr>
        <w:t xml:space="preserve"> </w:t>
      </w:r>
      <w:r w:rsidR="00434D07" w:rsidRPr="00AD2F2B">
        <w:rPr>
          <w:sz w:val="24"/>
          <w:szCs w:val="24"/>
        </w:rPr>
        <w:t>валюты, в которой выражена стоимость активов (обязательств), к Доллару США, раскрываемая информационной системой "</w:t>
      </w:r>
      <w:r w:rsidR="00434D07">
        <w:rPr>
          <w:sz w:val="24"/>
          <w:szCs w:val="24"/>
        </w:rPr>
        <w:t>Интерфакс</w:t>
      </w:r>
      <w:r w:rsidR="00434D07" w:rsidRPr="00AD2F2B">
        <w:rPr>
          <w:sz w:val="24"/>
          <w:szCs w:val="24"/>
        </w:rPr>
        <w:t>" на дату определения СЧА.</w:t>
      </w:r>
    </w:p>
    <w:p w:rsidR="002309F6" w:rsidRPr="00591BAB" w:rsidRDefault="002309F6" w:rsidP="00E845C5">
      <w:pPr>
        <w:spacing w:line="360" w:lineRule="auto"/>
        <w:ind w:firstLine="709"/>
        <w:jc w:val="both"/>
        <w:rPr>
          <w:sz w:val="24"/>
          <w:szCs w:val="24"/>
        </w:rPr>
      </w:pP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9911"/>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E845C5">
      <w:pPr>
        <w:autoSpaceDN w:val="0"/>
        <w:adjustRightInd w:val="0"/>
        <w:spacing w:line="360" w:lineRule="auto"/>
        <w:rPr>
          <w:sz w:val="24"/>
          <w:szCs w:val="24"/>
          <w:lang w:eastAsia="ru-RU"/>
        </w:rPr>
      </w:pPr>
    </w:p>
    <w:p w:rsidR="008218D7" w:rsidRDefault="008218D7" w:rsidP="008218D7">
      <w:pPr>
        <w:spacing w:line="360" w:lineRule="auto"/>
        <w:jc w:val="right"/>
        <w:rPr>
          <w:b/>
          <w:sz w:val="24"/>
          <w:szCs w:val="24"/>
        </w:rPr>
      </w:pPr>
      <w:r>
        <w:rPr>
          <w:b/>
          <w:sz w:val="24"/>
          <w:szCs w:val="24"/>
        </w:rPr>
        <w:t>Приложение 20</w:t>
      </w:r>
    </w:p>
    <w:p w:rsidR="008218D7" w:rsidRDefault="008218D7" w:rsidP="008218D7">
      <w:pPr>
        <w:spacing w:line="360" w:lineRule="auto"/>
        <w:jc w:val="both"/>
        <w:rPr>
          <w:sz w:val="24"/>
          <w:szCs w:val="24"/>
        </w:rPr>
      </w:pPr>
    </w:p>
    <w:p w:rsidR="008218D7" w:rsidRDefault="008218D7" w:rsidP="008218D7">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8218D7" w:rsidRDefault="008218D7" w:rsidP="008218D7">
      <w:pPr>
        <w:spacing w:line="360" w:lineRule="auto"/>
        <w:ind w:firstLine="708"/>
        <w:jc w:val="both"/>
        <w:rPr>
          <w:sz w:val="24"/>
          <w:szCs w:val="24"/>
        </w:rPr>
      </w:pPr>
    </w:p>
    <w:p w:rsidR="008218D7" w:rsidRPr="0040532A" w:rsidRDefault="008218D7" w:rsidP="008218D7">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8218D7" w:rsidRDefault="008218D7" w:rsidP="008218D7">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8218D7" w:rsidRDefault="008218D7" w:rsidP="008218D7">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8218D7" w:rsidRDefault="008218D7" w:rsidP="008218D7">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8218D7" w:rsidRPr="00F257D9" w:rsidRDefault="008218D7" w:rsidP="008218D7">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8218D7" w:rsidRPr="00A55F6A" w:rsidRDefault="008218D7" w:rsidP="008218D7">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8218D7" w:rsidRPr="0016477D" w:rsidRDefault="008218D7" w:rsidP="008218D7">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8218D7" w:rsidRDefault="008218D7" w:rsidP="008218D7">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8218D7" w:rsidRDefault="008218D7" w:rsidP="008218D7">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8218D7" w:rsidRPr="006C5A7D" w:rsidRDefault="008218D7" w:rsidP="008218D7">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8218D7" w:rsidRPr="00405FCA" w:rsidRDefault="008218D7" w:rsidP="008218D7">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8218D7" w:rsidRDefault="008218D7" w:rsidP="008218D7">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32"/>
      </w:r>
      <w:r>
        <w:rPr>
          <w:sz w:val="24"/>
          <w:szCs w:val="24"/>
        </w:rPr>
        <w:t>.</w:t>
      </w:r>
    </w:p>
    <w:p w:rsidR="008218D7" w:rsidRDefault="008218D7" w:rsidP="008218D7">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8218D7" w:rsidRDefault="008218D7" w:rsidP="008218D7">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8218D7" w:rsidRDefault="008218D7" w:rsidP="008218D7">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8218D7" w:rsidRPr="003360DE" w:rsidRDefault="008218D7" w:rsidP="008218D7">
      <w:pPr>
        <w:spacing w:line="360" w:lineRule="auto"/>
        <w:ind w:firstLine="708"/>
        <w:jc w:val="both"/>
        <w:rPr>
          <w:sz w:val="24"/>
          <w:szCs w:val="24"/>
        </w:rPr>
      </w:pPr>
    </w:p>
    <w:p w:rsidR="008218D7" w:rsidRPr="0040532A" w:rsidRDefault="008218D7" w:rsidP="008218D7">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4A2DAF" w:rsidRPr="000B09F4" w:rsidRDefault="008218D7" w:rsidP="004A2DAF">
      <w:pPr>
        <w:spacing w:line="360" w:lineRule="auto"/>
        <w:ind w:firstLine="708"/>
        <w:jc w:val="both"/>
        <w:rPr>
          <w:sz w:val="24"/>
          <w:szCs w:val="24"/>
          <w:lang w:eastAsia="en-US"/>
        </w:rPr>
      </w:pPr>
      <w:r>
        <w:rPr>
          <w:sz w:val="24"/>
          <w:szCs w:val="24"/>
        </w:rPr>
        <w:t xml:space="preserve">2.1. </w:t>
      </w:r>
      <w:r w:rsidR="004A2DAF" w:rsidRPr="000B09F4">
        <w:rPr>
          <w:sz w:val="24"/>
          <w:szCs w:val="24"/>
        </w:rPr>
        <w:t xml:space="preserve">Для контрагента может не считаться событием дефолта или обесценения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введения санкций, запрета/невозможности расчётов со стороны иностранных контрагентов или российских государственных органов. </w:t>
      </w:r>
    </w:p>
    <w:p w:rsidR="004A2DAF" w:rsidRPr="000B09F4" w:rsidRDefault="004A2DAF" w:rsidP="004A2DAF">
      <w:pPr>
        <w:spacing w:line="360" w:lineRule="auto"/>
        <w:ind w:firstLine="709"/>
        <w:jc w:val="both"/>
        <w:rPr>
          <w:sz w:val="24"/>
          <w:szCs w:val="24"/>
        </w:rPr>
      </w:pPr>
      <w:r w:rsidRPr="000B09F4">
        <w:rPr>
          <w:sz w:val="24"/>
          <w:szCs w:val="24"/>
        </w:rPr>
        <w:t>2.2. Неисполненные обязательства контрагентов, в том числе по выплате купонов и дивидендов в иностранной валюте, по состоянию на 31 июля 2022 года включительно, считаются находящимися в дефолте в случае, если такое неисполнение возникло в результате действий (бездействия) иностранных депозитарно-клиринговых компаний (в т. ч. международных расчётно-клиринговых центров «Евроклир Банк», г. Брюссель, и «Клирстрим Бэнкинг», г. Люксембург), иностранных банков или иных санкционных действий иностранных государств и (или) регулирующих органов. Дефолт и обесценение в отношении самого контрагента/эмитента, в том числе перекрёстный дефолт по его иным обязательствам, не возникают.</w:t>
      </w:r>
    </w:p>
    <w:p w:rsidR="004A2DAF" w:rsidRPr="000B09F4" w:rsidRDefault="004A2DAF" w:rsidP="004A2DAF">
      <w:pPr>
        <w:spacing w:line="360" w:lineRule="auto"/>
        <w:ind w:firstLine="709"/>
        <w:jc w:val="both"/>
        <w:rPr>
          <w:sz w:val="24"/>
          <w:szCs w:val="24"/>
        </w:rPr>
      </w:pPr>
      <w:r w:rsidRPr="000B09F4">
        <w:rPr>
          <w:sz w:val="24"/>
          <w:szCs w:val="24"/>
        </w:rPr>
        <w:t>До 31 июля 2022 года неисполнение таких обязательств не является событием обесценения или дефолта для целей корректировки справедливой стоимости такой задолженности.</w:t>
      </w:r>
    </w:p>
    <w:p w:rsidR="004A2DAF" w:rsidRPr="000B09F4" w:rsidRDefault="004A2DAF" w:rsidP="004A2DAF">
      <w:pPr>
        <w:spacing w:line="360" w:lineRule="auto"/>
        <w:ind w:firstLine="709"/>
        <w:jc w:val="both"/>
        <w:rPr>
          <w:sz w:val="24"/>
          <w:szCs w:val="24"/>
        </w:rPr>
      </w:pPr>
      <w:r w:rsidRPr="000B09F4">
        <w:rPr>
          <w:sz w:val="24"/>
          <w:szCs w:val="24"/>
        </w:rPr>
        <w:t>2.3. С 31 июля 2022 года (включительно) обязательства по ценным бумагам в иностранной валюте оцениваются следующим образом:</w:t>
      </w:r>
    </w:p>
    <w:p w:rsidR="004A2DAF" w:rsidRPr="000B09F4" w:rsidRDefault="004A2DAF" w:rsidP="004A2DAF">
      <w:pPr>
        <w:spacing w:line="360" w:lineRule="auto"/>
        <w:ind w:firstLine="709"/>
        <w:jc w:val="both"/>
        <w:rPr>
          <w:sz w:val="24"/>
          <w:szCs w:val="24"/>
        </w:rPr>
      </w:pPr>
      <w:r w:rsidRPr="000B09F4">
        <w:rPr>
          <w:sz w:val="24"/>
          <w:szCs w:val="24"/>
        </w:rPr>
        <w:t>2.3.1.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по которым выплата не может быть произведена в рублях в соответствии с действующим законодательством РФ, с даты признания в имуществе паевого инвестиционного фонда признаются находящимися в состоянии дефолта, LGD по этим обязательствам принимается равным 100%.</w:t>
      </w:r>
    </w:p>
    <w:p w:rsidR="004A2DAF" w:rsidRPr="000B09F4" w:rsidRDefault="004A2DAF" w:rsidP="004A2DAF">
      <w:pPr>
        <w:spacing w:line="360" w:lineRule="auto"/>
        <w:ind w:firstLine="709"/>
        <w:jc w:val="both"/>
        <w:rPr>
          <w:sz w:val="24"/>
          <w:szCs w:val="24"/>
        </w:rPr>
      </w:pPr>
      <w:r w:rsidRPr="000B09F4">
        <w:rPr>
          <w:sz w:val="24"/>
          <w:szCs w:val="24"/>
        </w:rPr>
        <w:t>2.3.2.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НКО АО НРД, и выплата по которым может быть произведена в рублях в соответствии с действующим законодательством РФ, с даты признания в имуществе паевого инвестиционного фонда оцениваются в общем порядке, установленном ПСЧА ПИФ, при этом с даты наступления дефолта согласно ПСЧА ПИФ LGD по этим обязательствам принимается равным 100%. В случае если прямо или косвенно стала наблюдаема или доступна информация о том, что обязательства будут погашены в определенный срок, в том числе в рублях в сумме, эквивалентной стоимости обязательств в иностранной валюте, срок наступления дефолта может быть изменен (увеличен или уменьшен в соответствии с полученной информацией), на основании мотивированного суждения управляющей компании.</w:t>
      </w:r>
    </w:p>
    <w:p w:rsidR="004A2DAF" w:rsidRPr="000B09F4" w:rsidRDefault="004A2DAF" w:rsidP="004A2DAF">
      <w:pPr>
        <w:spacing w:line="360" w:lineRule="auto"/>
        <w:ind w:firstLine="709"/>
        <w:jc w:val="both"/>
        <w:rPr>
          <w:sz w:val="24"/>
          <w:szCs w:val="24"/>
        </w:rPr>
      </w:pPr>
      <w:r w:rsidRPr="000B09F4">
        <w:rPr>
          <w:sz w:val="24"/>
          <w:szCs w:val="24"/>
        </w:rPr>
        <w:t>2.3.3. Обязательства, в том числе по выплате купонов и дивидендов, в отношении ценных бумаг, хранение которых осуществляется на счёте номинального держания специализированного депозитария, открытого в иных депозитариях, кроме НКО АО НРД, оцениваются в общем порядке, установленном ПСЧА ПИФ. С даты, когда прямо или косвенно стала наблюдаема или доступна информация о том, что обязательства не будут погашены в результате событий, указанных в п. 2.2, такие обязательства признаются находящимися в состоянии дефолта и LGD по этим обязательствам принимается равным 100% (решение оформляется мотивированным суждением управляющей компании).</w:t>
      </w:r>
    </w:p>
    <w:p w:rsidR="004A2DAF" w:rsidRPr="000B09F4" w:rsidRDefault="004A2DAF" w:rsidP="004A2DAF">
      <w:pPr>
        <w:spacing w:line="360" w:lineRule="auto"/>
        <w:ind w:firstLine="709"/>
        <w:jc w:val="both"/>
        <w:rPr>
          <w:sz w:val="24"/>
          <w:szCs w:val="24"/>
        </w:rPr>
      </w:pPr>
      <w:r w:rsidRPr="000B09F4">
        <w:rPr>
          <w:sz w:val="24"/>
          <w:szCs w:val="24"/>
        </w:rPr>
        <w:t>2.4. Для обязательств в иностранной валюте может не считаться событием дефолта исполнение этих обязательств в иной валюте.</w:t>
      </w:r>
    </w:p>
    <w:p w:rsidR="008218D7" w:rsidRDefault="008218D7" w:rsidP="008218D7">
      <w:pPr>
        <w:spacing w:line="360" w:lineRule="auto"/>
        <w:ind w:firstLine="708"/>
        <w:jc w:val="both"/>
        <w:rPr>
          <w:sz w:val="24"/>
          <w:szCs w:val="24"/>
        </w:rPr>
      </w:pPr>
    </w:p>
    <w:p w:rsidR="008218D7" w:rsidRPr="008D4D23" w:rsidRDefault="008218D7" w:rsidP="008218D7">
      <w:pPr>
        <w:spacing w:line="360" w:lineRule="auto"/>
        <w:ind w:firstLine="708"/>
        <w:jc w:val="both"/>
        <w:rPr>
          <w:sz w:val="24"/>
          <w:szCs w:val="24"/>
        </w:rPr>
      </w:pPr>
    </w:p>
    <w:p w:rsidR="008218D7" w:rsidRPr="009E11C8" w:rsidRDefault="008218D7" w:rsidP="008218D7">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8218D7" w:rsidRDefault="008218D7" w:rsidP="008218D7">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8218D7" w:rsidRDefault="008218D7" w:rsidP="008218D7">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8218D7" w:rsidRPr="00C05EFD" w:rsidRDefault="008218D7" w:rsidP="008218D7">
      <w:pPr>
        <w:spacing w:line="360" w:lineRule="auto"/>
        <w:ind w:firstLine="708"/>
        <w:jc w:val="both"/>
        <w:rPr>
          <w:sz w:val="24"/>
          <w:szCs w:val="24"/>
        </w:rPr>
      </w:pPr>
    </w:p>
    <w:p w:rsidR="008218D7" w:rsidRPr="00245F3C" w:rsidRDefault="008218D7" w:rsidP="008218D7">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8218D7" w:rsidRPr="00DA2914" w:rsidRDefault="008218D7" w:rsidP="008218D7">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8218D7" w:rsidRDefault="008218D7" w:rsidP="008218D7">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8218D7" w:rsidRDefault="008218D7" w:rsidP="008218D7">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8218D7" w:rsidRDefault="008218D7" w:rsidP="008218D7">
      <w:pPr>
        <w:spacing w:line="360" w:lineRule="auto"/>
        <w:ind w:firstLine="708"/>
        <w:jc w:val="both"/>
        <w:rPr>
          <w:sz w:val="24"/>
          <w:szCs w:val="24"/>
        </w:rPr>
      </w:pPr>
    </w:p>
    <w:p w:rsidR="008218D7" w:rsidRPr="00591BAB" w:rsidRDefault="008218D7" w:rsidP="00E845C5">
      <w:pPr>
        <w:autoSpaceDN w:val="0"/>
        <w:adjustRightInd w:val="0"/>
        <w:spacing w:line="360" w:lineRule="auto"/>
        <w:rPr>
          <w:sz w:val="24"/>
          <w:szCs w:val="24"/>
          <w:lang w:eastAsia="ru-RU"/>
        </w:rPr>
      </w:pPr>
    </w:p>
    <w:sectPr w:rsidR="008218D7" w:rsidRPr="00591BA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721" w:rsidRDefault="00B92721" w:rsidP="002C56E6">
      <w:r>
        <w:separator/>
      </w:r>
    </w:p>
  </w:endnote>
  <w:endnote w:type="continuationSeparator" w:id="0">
    <w:p w:rsidR="00B92721" w:rsidRDefault="00B92721"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4065043"/>
      <w:docPartObj>
        <w:docPartGallery w:val="Page Numbers (Bottom of Page)"/>
        <w:docPartUnique/>
      </w:docPartObj>
    </w:sdtPr>
    <w:sdtEndPr/>
    <w:sdtContent>
      <w:p w:rsidR="00B92721" w:rsidRDefault="00B92721">
        <w:pPr>
          <w:pStyle w:val="ac"/>
          <w:jc w:val="right"/>
        </w:pPr>
        <w:r>
          <w:rPr>
            <w:noProof/>
          </w:rPr>
          <w:fldChar w:fldCharType="begin"/>
        </w:r>
        <w:r>
          <w:rPr>
            <w:noProof/>
          </w:rPr>
          <w:instrText>PAGE   \* MERGEFORMAT</w:instrText>
        </w:r>
        <w:r>
          <w:rPr>
            <w:noProof/>
          </w:rPr>
          <w:fldChar w:fldCharType="separate"/>
        </w:r>
        <w:r w:rsidR="001E2915">
          <w:rPr>
            <w:noProof/>
          </w:rPr>
          <w:t>56</w:t>
        </w:r>
        <w:r>
          <w:rPr>
            <w:noProof/>
          </w:rPr>
          <w:fldChar w:fldCharType="end"/>
        </w:r>
      </w:p>
    </w:sdtContent>
  </w:sdt>
  <w:p w:rsidR="00B92721" w:rsidRDefault="00B92721">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6882678"/>
      <w:docPartObj>
        <w:docPartGallery w:val="Page Numbers (Bottom of Page)"/>
        <w:docPartUnique/>
      </w:docPartObj>
    </w:sdtPr>
    <w:sdtEndPr/>
    <w:sdtContent>
      <w:p w:rsidR="00B92721" w:rsidRDefault="00B92721">
        <w:pPr>
          <w:pStyle w:val="ac"/>
          <w:jc w:val="right"/>
        </w:pPr>
        <w:r>
          <w:rPr>
            <w:noProof/>
          </w:rPr>
          <w:fldChar w:fldCharType="begin"/>
        </w:r>
        <w:r>
          <w:rPr>
            <w:noProof/>
          </w:rPr>
          <w:instrText>PAGE   \* MERGEFORMAT</w:instrText>
        </w:r>
        <w:r>
          <w:rPr>
            <w:noProof/>
          </w:rPr>
          <w:fldChar w:fldCharType="separate"/>
        </w:r>
        <w:r w:rsidR="000B09F4">
          <w:rPr>
            <w:noProof/>
          </w:rPr>
          <w:t>74</w:t>
        </w:r>
        <w:r>
          <w:rPr>
            <w:noProof/>
          </w:rPr>
          <w:fldChar w:fldCharType="end"/>
        </w:r>
      </w:p>
    </w:sdtContent>
  </w:sdt>
  <w:p w:rsidR="00B92721" w:rsidRDefault="00B92721">
    <w:pPr>
      <w:pStyle w:val="ac"/>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7509429"/>
      <w:docPartObj>
        <w:docPartGallery w:val="Page Numbers (Bottom of Page)"/>
        <w:docPartUnique/>
      </w:docPartObj>
    </w:sdtPr>
    <w:sdtEndPr/>
    <w:sdtContent>
      <w:p w:rsidR="00B92721" w:rsidRDefault="00B92721">
        <w:pPr>
          <w:pStyle w:val="ac"/>
          <w:jc w:val="right"/>
        </w:pPr>
        <w:r>
          <w:rPr>
            <w:noProof/>
          </w:rPr>
          <w:fldChar w:fldCharType="begin"/>
        </w:r>
        <w:r>
          <w:rPr>
            <w:noProof/>
          </w:rPr>
          <w:instrText>PAGE   \* MERGEFORMAT</w:instrText>
        </w:r>
        <w:r>
          <w:rPr>
            <w:noProof/>
          </w:rPr>
          <w:fldChar w:fldCharType="separate"/>
        </w:r>
        <w:r w:rsidR="000B09F4">
          <w:rPr>
            <w:noProof/>
          </w:rPr>
          <w:t>77</w:t>
        </w:r>
        <w:r>
          <w:rPr>
            <w:noProof/>
          </w:rPr>
          <w:fldChar w:fldCharType="end"/>
        </w:r>
      </w:p>
    </w:sdtContent>
  </w:sdt>
  <w:p w:rsidR="00B92721" w:rsidRDefault="00B927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721" w:rsidRDefault="00B92721" w:rsidP="002C56E6">
      <w:r>
        <w:separator/>
      </w:r>
    </w:p>
  </w:footnote>
  <w:footnote w:type="continuationSeparator" w:id="0">
    <w:p w:rsidR="00B92721" w:rsidRDefault="00B92721" w:rsidP="002C56E6">
      <w:r>
        <w:continuationSeparator/>
      </w:r>
    </w:p>
  </w:footnote>
  <w:footnote w:id="1">
    <w:p w:rsidR="00B92721" w:rsidRPr="00E845C5" w:rsidRDefault="00B92721"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B92721" w:rsidRPr="00E845C5" w:rsidRDefault="00B92721"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B92721" w:rsidRPr="00E845C5" w:rsidRDefault="00B92721" w:rsidP="00E845C5">
      <w:pPr>
        <w:pStyle w:val="aff4"/>
      </w:pPr>
      <w:r w:rsidRPr="00E845C5">
        <w:t>В случае возникновения следующих событий:</w:t>
      </w:r>
    </w:p>
    <w:p w:rsidR="00B92721" w:rsidRPr="00E845C5" w:rsidRDefault="00B92721" w:rsidP="00E460D2">
      <w:pPr>
        <w:pStyle w:val="aff4"/>
        <w:numPr>
          <w:ilvl w:val="0"/>
          <w:numId w:val="49"/>
        </w:numPr>
      </w:pPr>
      <w:r w:rsidRPr="00E845C5">
        <w:t>Возникновение признаков обесценения, изложенных в приложении 4.</w:t>
      </w:r>
    </w:p>
    <w:p w:rsidR="00B92721" w:rsidRPr="00E845C5" w:rsidRDefault="00B92721"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B92721" w:rsidRPr="00E845C5" w:rsidRDefault="00B92721"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B92721" w:rsidRPr="00E845C5" w:rsidRDefault="00B92721"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B92721" w:rsidRPr="00E845C5" w:rsidRDefault="00B92721" w:rsidP="00E845C5">
      <w:pPr>
        <w:pStyle w:val="aff4"/>
      </w:pPr>
      <w:r w:rsidRPr="00E845C5">
        <w:t>стоимость определяется в соответствии с порядком корректировки, предусмотренным Приложением 4.</w:t>
      </w:r>
    </w:p>
    <w:p w:rsidR="00B92721" w:rsidRPr="00CE2725" w:rsidRDefault="00B92721">
      <w:pPr>
        <w:pStyle w:val="aff4"/>
      </w:pPr>
    </w:p>
  </w:footnote>
  <w:footnote w:id="3">
    <w:p w:rsidR="00B92721" w:rsidRDefault="00B92721">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B92721" w:rsidRDefault="00B92721">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B92721" w:rsidRDefault="00B92721">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B92721" w:rsidRDefault="00B92721"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B92721" w:rsidRDefault="00B92721"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B92721" w:rsidRPr="00B62470" w:rsidRDefault="00B92721"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B92721" w:rsidRPr="00B62470" w:rsidRDefault="00B92721"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B92721" w:rsidRDefault="00B92721"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B92721" w:rsidRDefault="00B92721"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B92721" w:rsidRPr="00341704" w:rsidRDefault="00B92721"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B92721" w:rsidRPr="00341704" w:rsidRDefault="00B92721"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B92721" w:rsidRDefault="00B92721"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B92721" w:rsidRPr="004A14EE" w:rsidRDefault="00B92721" w:rsidP="000903F9">
      <w:pPr>
        <w:pStyle w:val="aff4"/>
        <w:rPr>
          <w:sz w:val="16"/>
        </w:rPr>
      </w:pPr>
      <w:r w:rsidRPr="004A14EE">
        <w:rPr>
          <w:rStyle w:val="afa"/>
          <w:sz w:val="16"/>
        </w:rPr>
        <w:footnoteRef/>
      </w:r>
      <w:r w:rsidRPr="004A14EE">
        <w:rPr>
          <w:sz w:val="16"/>
        </w:rPr>
        <w:t xml:space="preserve"> Кроме случаев </w:t>
      </w:r>
    </w:p>
    <w:p w:rsidR="00B92721" w:rsidRPr="004A14EE" w:rsidRDefault="00B92721"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B92721" w:rsidRPr="00E2653F" w:rsidRDefault="00B92721"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B92721" w:rsidRDefault="00B92721"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B92721" w:rsidRDefault="00B92721"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B92721" w:rsidRPr="00FE2BB4" w:rsidRDefault="00B92721"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B92721" w:rsidRDefault="00B92721"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B92721" w:rsidRDefault="00B92721"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B92721" w:rsidRDefault="00B92721" w:rsidP="000903F9">
      <w:pPr>
        <w:pStyle w:val="aff4"/>
      </w:pPr>
      <w:r>
        <w:rPr>
          <w:rStyle w:val="afa"/>
        </w:rPr>
        <w:footnoteRef/>
      </w:r>
      <w:r>
        <w:t xml:space="preserve"> </w:t>
      </w:r>
      <w:r w:rsidRPr="006E7138">
        <w:t>https://ofd.nalog.ru/</w:t>
      </w:r>
    </w:p>
  </w:footnote>
  <w:footnote w:id="22">
    <w:p w:rsidR="00B92721" w:rsidRPr="00EA2976" w:rsidRDefault="00B92721"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B92721" w:rsidRDefault="00B92721"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B92721" w:rsidRPr="00AC2C21" w:rsidRDefault="00B92721"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B92721" w:rsidRPr="00AC2C21" w:rsidRDefault="00B92721" w:rsidP="000903F9">
      <w:pPr>
        <w:pStyle w:val="aff4"/>
        <w:rPr>
          <w:sz w:val="16"/>
        </w:rPr>
      </w:pPr>
      <w:r w:rsidRPr="00AC2C21">
        <w:rPr>
          <w:sz w:val="16"/>
        </w:rPr>
        <w:t>LGD=1-RR,</w:t>
      </w:r>
    </w:p>
    <w:p w:rsidR="00B92721" w:rsidRPr="00AC2C21" w:rsidRDefault="00B92721" w:rsidP="000903F9">
      <w:pPr>
        <w:pStyle w:val="aff4"/>
        <w:rPr>
          <w:sz w:val="16"/>
        </w:rPr>
      </w:pPr>
      <w:r w:rsidRPr="00AC2C21">
        <w:rPr>
          <w:sz w:val="16"/>
        </w:rPr>
        <w:t>где:</w:t>
      </w:r>
    </w:p>
    <w:p w:rsidR="00B92721" w:rsidRDefault="00B92721"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B92721" w:rsidRDefault="00B92721"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B92721" w:rsidRDefault="00B92721" w:rsidP="000903F9">
      <w:pPr>
        <w:pStyle w:val="aff4"/>
      </w:pPr>
      <w:r>
        <w:rPr>
          <w:rStyle w:val="afa"/>
        </w:rPr>
        <w:footnoteRef/>
      </w:r>
      <w:r>
        <w:t xml:space="preserve"> Например, гостиницы, хостелы и т.п.</w:t>
      </w:r>
    </w:p>
  </w:footnote>
  <w:footnote w:id="27">
    <w:p w:rsidR="00FC28E4" w:rsidRDefault="00FC28E4" w:rsidP="00FC28E4">
      <w:pPr>
        <w:pStyle w:val="aff4"/>
      </w:pPr>
      <w:r>
        <w:rPr>
          <w:rStyle w:val="afa"/>
        </w:rPr>
        <w:footnoteRef/>
      </w:r>
      <w:r>
        <w:t xml:space="preserve"> В случае, если отчетность банка раскрывается в адрес Управляющей компании и отсутствует в открытом доступе, Управляющая компания предоставляет отчетность в Специализированный депозитарий</w:t>
      </w:r>
    </w:p>
  </w:footnote>
  <w:footnote w:id="28">
    <w:p w:rsidR="00B92721" w:rsidRPr="00151F78" w:rsidRDefault="00B92721"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29">
    <w:p w:rsidR="00B92721" w:rsidRPr="00151F78" w:rsidRDefault="00B92721"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0">
    <w:p w:rsidR="00B92721" w:rsidRPr="00987453" w:rsidRDefault="00B92721"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B92721" w:rsidRPr="00987453" w:rsidRDefault="00B92721"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92721" w:rsidRPr="00987453" w:rsidRDefault="00B92721"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31">
    <w:p w:rsidR="00B92721" w:rsidRPr="00987453" w:rsidRDefault="00B92721"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B92721" w:rsidRPr="00987453" w:rsidRDefault="00B92721"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92721" w:rsidRDefault="00B92721"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32">
    <w:p w:rsidR="00B92721" w:rsidRPr="00AC2C21" w:rsidRDefault="00B92721" w:rsidP="008218D7">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B92721" w:rsidRPr="00AC2C21" w:rsidRDefault="00B92721" w:rsidP="008218D7">
      <w:pPr>
        <w:pStyle w:val="aff4"/>
        <w:rPr>
          <w:sz w:val="16"/>
        </w:rPr>
      </w:pPr>
      <w:r w:rsidRPr="00AC2C21">
        <w:rPr>
          <w:sz w:val="16"/>
        </w:rPr>
        <w:t>LGD=1-RR,</w:t>
      </w:r>
    </w:p>
    <w:p w:rsidR="00B92721" w:rsidRPr="00AC2C21" w:rsidRDefault="00B92721" w:rsidP="008218D7">
      <w:pPr>
        <w:pStyle w:val="aff4"/>
        <w:rPr>
          <w:sz w:val="16"/>
        </w:rPr>
      </w:pPr>
      <w:r w:rsidRPr="00AC2C21">
        <w:rPr>
          <w:sz w:val="16"/>
        </w:rPr>
        <w:t>где:</w:t>
      </w:r>
    </w:p>
    <w:p w:rsidR="00B92721" w:rsidRDefault="00B92721" w:rsidP="008218D7">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00E7FA1"/>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3"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9"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0"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5"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8"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1"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2"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3"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5"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9"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3"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4"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5"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8"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4"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5"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9"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0"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8"/>
  </w:num>
  <w:num w:numId="4">
    <w:abstractNumId w:val="9"/>
  </w:num>
  <w:num w:numId="5">
    <w:abstractNumId w:val="42"/>
  </w:num>
  <w:num w:numId="6">
    <w:abstractNumId w:val="61"/>
  </w:num>
  <w:num w:numId="7">
    <w:abstractNumId w:val="20"/>
  </w:num>
  <w:num w:numId="8">
    <w:abstractNumId w:val="37"/>
  </w:num>
  <w:num w:numId="9">
    <w:abstractNumId w:val="46"/>
  </w:num>
  <w:num w:numId="10">
    <w:abstractNumId w:val="16"/>
  </w:num>
  <w:num w:numId="11">
    <w:abstractNumId w:val="60"/>
  </w:num>
  <w:num w:numId="12">
    <w:abstractNumId w:val="45"/>
  </w:num>
  <w:num w:numId="13">
    <w:abstractNumId w:val="32"/>
  </w:num>
  <w:num w:numId="14">
    <w:abstractNumId w:val="5"/>
  </w:num>
  <w:num w:numId="15">
    <w:abstractNumId w:val="49"/>
  </w:num>
  <w:num w:numId="16">
    <w:abstractNumId w:val="62"/>
  </w:num>
  <w:num w:numId="17">
    <w:abstractNumId w:val="63"/>
  </w:num>
  <w:num w:numId="18">
    <w:abstractNumId w:val="38"/>
  </w:num>
  <w:num w:numId="19">
    <w:abstractNumId w:val="51"/>
  </w:num>
  <w:num w:numId="20">
    <w:abstractNumId w:val="11"/>
  </w:num>
  <w:num w:numId="21">
    <w:abstractNumId w:val="26"/>
  </w:num>
  <w:num w:numId="22">
    <w:abstractNumId w:val="27"/>
  </w:num>
  <w:num w:numId="23">
    <w:abstractNumId w:val="13"/>
  </w:num>
  <w:num w:numId="24">
    <w:abstractNumId w:val="10"/>
  </w:num>
  <w:num w:numId="25">
    <w:abstractNumId w:val="33"/>
  </w:num>
  <w:num w:numId="26">
    <w:abstractNumId w:val="50"/>
  </w:num>
  <w:num w:numId="27">
    <w:abstractNumId w:val="34"/>
  </w:num>
  <w:num w:numId="28">
    <w:abstractNumId w:val="64"/>
  </w:num>
  <w:num w:numId="29">
    <w:abstractNumId w:val="59"/>
  </w:num>
  <w:num w:numId="30">
    <w:abstractNumId w:val="35"/>
  </w:num>
  <w:num w:numId="31">
    <w:abstractNumId w:val="55"/>
  </w:num>
  <w:num w:numId="32">
    <w:abstractNumId w:val="43"/>
  </w:num>
  <w:num w:numId="33">
    <w:abstractNumId w:val="66"/>
  </w:num>
  <w:num w:numId="34">
    <w:abstractNumId w:val="29"/>
  </w:num>
  <w:num w:numId="35">
    <w:abstractNumId w:val="69"/>
  </w:num>
  <w:num w:numId="36">
    <w:abstractNumId w:val="65"/>
  </w:num>
  <w:num w:numId="37">
    <w:abstractNumId w:val="0"/>
  </w:num>
  <w:num w:numId="38">
    <w:abstractNumId w:val="56"/>
  </w:num>
  <w:num w:numId="39">
    <w:abstractNumId w:val="8"/>
  </w:num>
  <w:num w:numId="40">
    <w:abstractNumId w:val="44"/>
  </w:num>
  <w:num w:numId="41">
    <w:abstractNumId w:val="67"/>
  </w:num>
  <w:num w:numId="42">
    <w:abstractNumId w:val="4"/>
  </w:num>
  <w:num w:numId="43">
    <w:abstractNumId w:val="22"/>
  </w:num>
  <w:num w:numId="44">
    <w:abstractNumId w:val="41"/>
  </w:num>
  <w:num w:numId="45">
    <w:abstractNumId w:val="47"/>
  </w:num>
  <w:num w:numId="46">
    <w:abstractNumId w:val="39"/>
  </w:num>
  <w:num w:numId="47">
    <w:abstractNumId w:val="1"/>
  </w:num>
  <w:num w:numId="48">
    <w:abstractNumId w:val="19"/>
  </w:num>
  <w:num w:numId="49">
    <w:abstractNumId w:val="3"/>
  </w:num>
  <w:num w:numId="50">
    <w:abstractNumId w:val="40"/>
  </w:num>
  <w:num w:numId="51">
    <w:abstractNumId w:val="58"/>
  </w:num>
  <w:num w:numId="52">
    <w:abstractNumId w:val="57"/>
  </w:num>
  <w:num w:numId="53">
    <w:abstractNumId w:val="28"/>
  </w:num>
  <w:num w:numId="54">
    <w:abstractNumId w:val="36"/>
  </w:num>
  <w:num w:numId="55">
    <w:abstractNumId w:val="25"/>
  </w:num>
  <w:num w:numId="56">
    <w:abstractNumId w:val="70"/>
  </w:num>
  <w:num w:numId="5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3"/>
  </w:num>
  <w:num w:numId="59">
    <w:abstractNumId w:val="30"/>
  </w:num>
  <w:num w:numId="60">
    <w:abstractNumId w:val="54"/>
  </w:num>
  <w:num w:numId="61">
    <w:abstractNumId w:val="7"/>
  </w:num>
  <w:num w:numId="62">
    <w:abstractNumId w:val="23"/>
  </w:num>
  <w:num w:numId="63">
    <w:abstractNumId w:val="17"/>
  </w:num>
  <w:num w:numId="64">
    <w:abstractNumId w:val="6"/>
  </w:num>
  <w:num w:numId="65">
    <w:abstractNumId w:val="31"/>
  </w:num>
  <w:num w:numId="66">
    <w:abstractNumId w:val="14"/>
  </w:num>
  <w:num w:numId="67">
    <w:abstractNumId w:val="24"/>
  </w:num>
  <w:num w:numId="68">
    <w:abstractNumId w:val="12"/>
  </w:num>
  <w:num w:numId="69">
    <w:abstractNumId w:val="52"/>
  </w:num>
  <w:num w:numId="70">
    <w:abstractNumId w:val="2"/>
  </w:num>
  <w:num w:numId="71">
    <w:abstractNumId w:val="21"/>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56E9"/>
    <w:rsid w:val="000A6250"/>
    <w:rsid w:val="000A6C7E"/>
    <w:rsid w:val="000A6CBA"/>
    <w:rsid w:val="000B09F4"/>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6A5B"/>
    <w:rsid w:val="001B70B0"/>
    <w:rsid w:val="001B792E"/>
    <w:rsid w:val="001C3224"/>
    <w:rsid w:val="001C57A0"/>
    <w:rsid w:val="001C5DF2"/>
    <w:rsid w:val="001C65DD"/>
    <w:rsid w:val="001D0AB3"/>
    <w:rsid w:val="001D1F4C"/>
    <w:rsid w:val="001D3ACA"/>
    <w:rsid w:val="001D3B60"/>
    <w:rsid w:val="001D5C09"/>
    <w:rsid w:val="001D69CD"/>
    <w:rsid w:val="001D791A"/>
    <w:rsid w:val="001E0EE9"/>
    <w:rsid w:val="001E2915"/>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1B9"/>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183F"/>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4005"/>
    <w:rsid w:val="003D4373"/>
    <w:rsid w:val="003D5C0E"/>
    <w:rsid w:val="003D627F"/>
    <w:rsid w:val="003D65F7"/>
    <w:rsid w:val="003E010E"/>
    <w:rsid w:val="003E0BF0"/>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4D07"/>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D6C"/>
    <w:rsid w:val="0047110E"/>
    <w:rsid w:val="00471C84"/>
    <w:rsid w:val="00472772"/>
    <w:rsid w:val="004739C8"/>
    <w:rsid w:val="004744BB"/>
    <w:rsid w:val="00477533"/>
    <w:rsid w:val="0047786C"/>
    <w:rsid w:val="0048091B"/>
    <w:rsid w:val="004813B4"/>
    <w:rsid w:val="0048404B"/>
    <w:rsid w:val="0049018B"/>
    <w:rsid w:val="00492A4D"/>
    <w:rsid w:val="00497323"/>
    <w:rsid w:val="00497733"/>
    <w:rsid w:val="004A00DC"/>
    <w:rsid w:val="004A1F15"/>
    <w:rsid w:val="004A20FE"/>
    <w:rsid w:val="004A2503"/>
    <w:rsid w:val="004A2DAF"/>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07FCE"/>
    <w:rsid w:val="00511BBD"/>
    <w:rsid w:val="00512076"/>
    <w:rsid w:val="005134FC"/>
    <w:rsid w:val="00514AE9"/>
    <w:rsid w:val="0051529B"/>
    <w:rsid w:val="005166A2"/>
    <w:rsid w:val="00516F0B"/>
    <w:rsid w:val="00517885"/>
    <w:rsid w:val="00517E2B"/>
    <w:rsid w:val="00521022"/>
    <w:rsid w:val="005232CF"/>
    <w:rsid w:val="00524BBD"/>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0F6"/>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3C4E"/>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18D7"/>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27F"/>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E44"/>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0F28"/>
    <w:rsid w:val="00AC1537"/>
    <w:rsid w:val="00AC15A4"/>
    <w:rsid w:val="00AC6B8F"/>
    <w:rsid w:val="00AD201C"/>
    <w:rsid w:val="00AD48EB"/>
    <w:rsid w:val="00AD58B8"/>
    <w:rsid w:val="00AD73B0"/>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2ED3"/>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0553"/>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5E43"/>
    <w:rsid w:val="00B8600F"/>
    <w:rsid w:val="00B8604F"/>
    <w:rsid w:val="00B865AA"/>
    <w:rsid w:val="00B92721"/>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2981"/>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25C"/>
    <w:rsid w:val="00D47496"/>
    <w:rsid w:val="00D52CFA"/>
    <w:rsid w:val="00D538AE"/>
    <w:rsid w:val="00D5723F"/>
    <w:rsid w:val="00D57B34"/>
    <w:rsid w:val="00D60BE4"/>
    <w:rsid w:val="00D61B7D"/>
    <w:rsid w:val="00D63F88"/>
    <w:rsid w:val="00D64D2C"/>
    <w:rsid w:val="00D7094C"/>
    <w:rsid w:val="00D709AE"/>
    <w:rsid w:val="00D71FAE"/>
    <w:rsid w:val="00D736A0"/>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2BC6"/>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0D17"/>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6C2"/>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28E4"/>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4:docId w14:val="528FE12F"/>
  <w15:docId w15:val="{FD347ADE-BD07-4AC6-B91C-0A582FF76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iPriority w:val="99"/>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uiPriority w:val="99"/>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afff"/>
    <w:qFormat/>
    <w:rsid w:val="00011EFE"/>
    <w:pPr>
      <w:suppressAutoHyphens w:val="0"/>
      <w:autoSpaceDE/>
      <w:spacing w:line="480" w:lineRule="auto"/>
      <w:jc w:val="center"/>
    </w:pPr>
    <w:rPr>
      <w:rFonts w:ascii="AGOpus" w:hAnsi="AGOpus"/>
      <w:b/>
      <w:sz w:val="24"/>
      <w:lang w:eastAsia="ru-RU"/>
    </w:rPr>
  </w:style>
  <w:style w:type="character" w:customStyle="1" w:styleId="afff0">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afff">
    <w:name w:val="Заголовок Знак"/>
    <w:basedOn w:val="a3"/>
    <w:link w:val="affe"/>
    <w:rsid w:val="00011EFE"/>
    <w:rPr>
      <w:rFonts w:ascii="AGOpus" w:eastAsia="Times New Roman" w:hAnsi="AGOpus" w:cs="Times New Roman"/>
      <w:b/>
      <w:sz w:val="24"/>
      <w:szCs w:val="20"/>
      <w:lang w:eastAsia="ru-RU"/>
    </w:rPr>
  </w:style>
  <w:style w:type="paragraph" w:customStyle="1" w:styleId="17">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1">
    <w:name w:val="page number"/>
    <w:basedOn w:val="a3"/>
    <w:rsid w:val="00011EFE"/>
  </w:style>
  <w:style w:type="paragraph" w:styleId="afff2">
    <w:name w:val="caption"/>
    <w:basedOn w:val="a2"/>
    <w:next w:val="a2"/>
    <w:uiPriority w:val="35"/>
    <w:qFormat/>
    <w:rsid w:val="00011EFE"/>
    <w:pPr>
      <w:suppressAutoHyphens w:val="0"/>
      <w:autoSpaceDE/>
    </w:pPr>
    <w:rPr>
      <w:b/>
      <w:bCs/>
      <w:lang w:eastAsia="ru-RU"/>
    </w:rPr>
  </w:style>
  <w:style w:type="character" w:styleId="afff3">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4">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5">
    <w:name w:val="Тема"/>
    <w:basedOn w:val="afff4"/>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8">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9">
    <w:name w:val="Загаловок 1"/>
    <w:basedOn w:val="29"/>
    <w:rsid w:val="00011EFE"/>
    <w:rPr>
      <w:sz w:val="28"/>
    </w:rPr>
  </w:style>
  <w:style w:type="paragraph" w:customStyle="1" w:styleId="afff6">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7">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a">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b">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8">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9">
    <w:name w:val="Subtitle"/>
    <w:basedOn w:val="a2"/>
    <w:link w:val="afffa"/>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a">
    <w:name w:val="Подзаголовок Знак"/>
    <w:basedOn w:val="a3"/>
    <w:link w:val="afff9"/>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b">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c">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572891262">
      <w:bodyDiv w:val="1"/>
      <w:marLeft w:val="0"/>
      <w:marRight w:val="0"/>
      <w:marTop w:val="0"/>
      <w:marBottom w:val="0"/>
      <w:divBdr>
        <w:top w:val="none" w:sz="0" w:space="0" w:color="auto"/>
        <w:left w:val="none" w:sz="0" w:space="0" w:color="auto"/>
        <w:bottom w:val="none" w:sz="0" w:space="0" w:color="auto"/>
        <w:right w:val="none" w:sz="0" w:space="0" w:color="auto"/>
      </w:divBdr>
    </w:div>
    <w:div w:id="183294157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oleObject" Target="embeddings/oleObject13.bin"/><Relationship Id="rId40" Type="http://schemas.openxmlformats.org/officeDocument/2006/relationships/image" Target="media/image15.wmf"/><Relationship Id="rId45" Type="http://schemas.openxmlformats.org/officeDocument/2006/relationships/oleObject" Target="embeddings/oleObject17.bin"/><Relationship Id="rId53" Type="http://schemas.openxmlformats.org/officeDocument/2006/relationships/oleObject" Target="embeddings/oleObject23.bin"/><Relationship Id="rId58" Type="http://schemas.openxmlformats.org/officeDocument/2006/relationships/oleObject" Target="embeddings/oleObject26.bin"/><Relationship Id="rId66" Type="http://schemas.openxmlformats.org/officeDocument/2006/relationships/oleObject" Target="embeddings/oleObject30.bin"/><Relationship Id="rId74" Type="http://schemas.openxmlformats.org/officeDocument/2006/relationships/oleObject" Target="embeddings/oleObject37.bin"/><Relationship Id="rId79" Type="http://schemas.openxmlformats.org/officeDocument/2006/relationships/oleObject" Target="embeddings/oleObject40.bin"/><Relationship Id="rId87" Type="http://schemas.openxmlformats.org/officeDocument/2006/relationships/oleObject" Target="embeddings/oleObject45.bin"/><Relationship Id="rId102" Type="http://schemas.openxmlformats.org/officeDocument/2006/relationships/hyperlink" Target="https://www.moex.com/ru/index/RUCBITRBBB3Y" TargetMode="External"/><Relationship Id="rId110" Type="http://schemas.openxmlformats.org/officeDocument/2006/relationships/image" Target="media/image33.wmf"/><Relationship Id="rId115" Type="http://schemas.openxmlformats.org/officeDocument/2006/relationships/theme" Target="theme/theme1.xml"/><Relationship Id="rId5" Type="http://schemas.openxmlformats.org/officeDocument/2006/relationships/numbering" Target="numbering.xml"/><Relationship Id="rId61" Type="http://schemas.openxmlformats.org/officeDocument/2006/relationships/image" Target="media/image23.wmf"/><Relationship Id="rId82" Type="http://schemas.openxmlformats.org/officeDocument/2006/relationships/oleObject" Target="embeddings/oleObject42.bin"/><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19" Type="http://schemas.openxmlformats.org/officeDocument/2006/relationships/oleObject" Target="embeddings/oleObject4.bin"/><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w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9.bin"/><Relationship Id="rId56" Type="http://schemas.openxmlformats.org/officeDocument/2006/relationships/image" Target="media/image21.wmf"/><Relationship Id="rId64" Type="http://schemas.openxmlformats.org/officeDocument/2006/relationships/oleObject" Target="embeddings/oleObject29.bin"/><Relationship Id="rId69" Type="http://schemas.openxmlformats.org/officeDocument/2006/relationships/oleObject" Target="embeddings/oleObject33.bin"/><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113" Type="http://schemas.openxmlformats.org/officeDocument/2006/relationships/footer" Target="footer3.xm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oleObject" Target="embeddings/oleObject44.bin"/><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wmf"/><Relationship Id="rId46" Type="http://schemas.openxmlformats.org/officeDocument/2006/relationships/image" Target="media/image18.wmf"/><Relationship Id="rId59" Type="http://schemas.openxmlformats.org/officeDocument/2006/relationships/image" Target="media/image22.wmf"/><Relationship Id="rId67" Type="http://schemas.openxmlformats.org/officeDocument/2006/relationships/oleObject" Target="embeddings/oleObject31.bin"/><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20" Type="http://schemas.openxmlformats.org/officeDocument/2006/relationships/image" Target="media/image5.wmf"/><Relationship Id="rId41" Type="http://schemas.openxmlformats.org/officeDocument/2006/relationships/oleObject" Target="embeddings/oleObject15.bin"/><Relationship Id="rId54" Type="http://schemas.openxmlformats.org/officeDocument/2006/relationships/image" Target="media/image20.wmf"/><Relationship Id="rId62" Type="http://schemas.openxmlformats.org/officeDocument/2006/relationships/oleObject" Target="embeddings/oleObject28.bin"/><Relationship Id="rId70" Type="http://schemas.openxmlformats.org/officeDocument/2006/relationships/oleObject" Target="embeddings/oleObject34.bin"/><Relationship Id="rId75" Type="http://schemas.openxmlformats.org/officeDocument/2006/relationships/oleObject" Target="embeddings/oleObject38.bin"/><Relationship Id="rId83" Type="http://schemas.openxmlformats.org/officeDocument/2006/relationships/oleObject" Target="embeddings/oleObject43.bin"/><Relationship Id="rId88" Type="http://schemas.openxmlformats.org/officeDocument/2006/relationships/image" Target="media/image32.wmf"/><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11" Type="http://schemas.openxmlformats.org/officeDocument/2006/relationships/oleObject" Target="embeddings/oleObject47.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2.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BD2E83-ED97-433A-8A68-66F1C8503DAF}">
  <ds:schemaRefs>
    <ds:schemaRef ds:uri="http://www.w3.org/XML/1998/namespace"/>
    <ds:schemaRef ds:uri="http://purl.org/dc/terms/"/>
    <ds:schemaRef ds:uri="http://purl.org/dc/dcmitype/"/>
    <ds:schemaRef ds:uri="a1d7872c-6126-4a32-b4d6-b4aed00f16be"/>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sharepoint/v3/fields"/>
  </ds:schemaRefs>
</ds:datastoreItem>
</file>

<file path=customXml/itemProps4.xml><?xml version="1.0" encoding="utf-8"?>
<ds:datastoreItem xmlns:ds="http://schemas.openxmlformats.org/officeDocument/2006/customXml" ds:itemID="{B00F9CF2-5CE0-4F02-A1F8-D3F1F04CB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57</Pages>
  <Words>26719</Words>
  <Characters>152301</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5</cp:revision>
  <cp:lastPrinted>2019-12-16T11:46:00Z</cp:lastPrinted>
  <dcterms:created xsi:type="dcterms:W3CDTF">2022-07-21T10:07:00Z</dcterms:created>
  <dcterms:modified xsi:type="dcterms:W3CDTF">2022-07-22T13:37:00Z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